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F0F" w:rsidRPr="003D7CF7" w:rsidRDefault="00AC1F0F" w:rsidP="003D7CF7">
      <w:pPr>
        <w:spacing w:line="360" w:lineRule="auto"/>
        <w:jc w:val="center"/>
        <w:rPr>
          <w:b/>
          <w:sz w:val="32"/>
          <w:szCs w:val="32"/>
          <w:u w:val="single"/>
        </w:rPr>
      </w:pPr>
      <w:r w:rsidRPr="003D7CF7">
        <w:rPr>
          <w:b/>
          <w:caps/>
          <w:sz w:val="32"/>
          <w:szCs w:val="32"/>
        </w:rPr>
        <w:t>Contract</w:t>
      </w:r>
      <w:r w:rsidRPr="003D7CF7">
        <w:rPr>
          <w:b/>
          <w:sz w:val="32"/>
          <w:szCs w:val="32"/>
        </w:rPr>
        <w:t xml:space="preserve"> Nr.</w:t>
      </w:r>
      <w:r w:rsidR="00DD53A8" w:rsidRPr="003D7CF7">
        <w:rPr>
          <w:b/>
          <w:sz w:val="32"/>
          <w:szCs w:val="32"/>
        </w:rPr>
        <w:t xml:space="preserve"> ______</w:t>
      </w:r>
    </w:p>
    <w:p w:rsidR="00AC1F0F" w:rsidRPr="003D7CF7" w:rsidRDefault="00AC1F0F" w:rsidP="003D7CF7">
      <w:pPr>
        <w:spacing w:line="360" w:lineRule="auto"/>
        <w:jc w:val="center"/>
        <w:rPr>
          <w:b/>
          <w:sz w:val="28"/>
          <w:szCs w:val="28"/>
        </w:rPr>
      </w:pPr>
      <w:r w:rsidRPr="003D7CF7">
        <w:rPr>
          <w:b/>
          <w:sz w:val="28"/>
          <w:szCs w:val="28"/>
        </w:rPr>
        <w:t>privind achiziţia de</w:t>
      </w:r>
      <w:r w:rsidRPr="003D7CF7">
        <w:rPr>
          <w:b/>
          <w:sz w:val="28"/>
          <w:szCs w:val="28"/>
        </w:rPr>
        <w:softHyphen/>
      </w:r>
      <w:r w:rsidRPr="003D7CF7">
        <w:rPr>
          <w:b/>
          <w:sz w:val="28"/>
          <w:szCs w:val="28"/>
        </w:rPr>
        <w:softHyphen/>
      </w:r>
      <w:r w:rsidRPr="003D7CF7">
        <w:rPr>
          <w:b/>
          <w:sz w:val="28"/>
          <w:szCs w:val="28"/>
        </w:rPr>
        <w:softHyphen/>
        <w:t xml:space="preserve"> servicii educaționale</w:t>
      </w:r>
    </w:p>
    <w:p w:rsidR="00AC1F0F" w:rsidRPr="00E91463" w:rsidRDefault="00AC1F0F" w:rsidP="00AC1F0F">
      <w:pPr>
        <w:jc w:val="center"/>
        <w:rPr>
          <w:i/>
        </w:rPr>
      </w:pPr>
    </w:p>
    <w:p w:rsidR="00AC1F0F" w:rsidRPr="00CA0201" w:rsidRDefault="00AC1F0F" w:rsidP="00AC1F0F">
      <w:pPr>
        <w:jc w:val="center"/>
        <w:rPr>
          <w:b/>
          <w:i/>
        </w:rPr>
      </w:pPr>
      <w:r w:rsidRPr="00CA0201">
        <w:rPr>
          <w:b/>
          <w:i/>
        </w:rPr>
        <w:t>I PARTEA GENERALĂ</w:t>
      </w:r>
    </w:p>
    <w:p w:rsidR="00CA0201" w:rsidRPr="005D560A" w:rsidRDefault="00CA0201" w:rsidP="00AC1F0F">
      <w:pPr>
        <w:jc w:val="center"/>
        <w:rPr>
          <w:i/>
        </w:rPr>
      </w:pPr>
    </w:p>
    <w:p w:rsidR="00AC1F0F" w:rsidRPr="00E91463" w:rsidRDefault="00AC1F0F" w:rsidP="00CA0201">
      <w:pPr>
        <w:ind w:right="-421"/>
        <w:jc w:val="both"/>
        <w:rPr>
          <w:i/>
        </w:rPr>
      </w:pPr>
      <w:r w:rsidRPr="00E91463">
        <w:rPr>
          <w:i/>
        </w:rPr>
        <w:t>Obiectul achiziției</w:t>
      </w:r>
      <w:r>
        <w:rPr>
          <w:i/>
        </w:rPr>
        <w:t xml:space="preserve"> -</w:t>
      </w:r>
      <w:r w:rsidRPr="00E91463">
        <w:rPr>
          <w:i/>
        </w:rPr>
        <w:t xml:space="preserve"> </w:t>
      </w:r>
      <w:r w:rsidRPr="007064A0">
        <w:t>servicii educaționale pentru realizarea planului „Comenzii de stat” de pregătire a cadrelor de specialitate în învățământul profesional tehnic secundar nivelul 3 ISCED, pentru anul financiar 202</w:t>
      </w:r>
      <w:r>
        <w:t>2</w:t>
      </w:r>
      <w:r w:rsidR="008752E8">
        <w:t xml:space="preserve">, </w:t>
      </w:r>
      <w:r w:rsidR="008752E8" w:rsidRPr="007064A0">
        <w:t xml:space="preserve">în temeiul </w:t>
      </w:r>
      <w:r w:rsidR="008752E8" w:rsidRPr="008752E8">
        <w:t>art. 5, alin. (1) lit. k) al Legii nr. 131/2015 privind achizițiile publice.</w:t>
      </w:r>
    </w:p>
    <w:p w:rsidR="00AC1F0F" w:rsidRPr="00E91463" w:rsidRDefault="00220B38" w:rsidP="00CA0201">
      <w:pPr>
        <w:ind w:right="-421"/>
        <w:jc w:val="both"/>
        <w:rPr>
          <w:i/>
        </w:rPr>
      </w:pPr>
      <w:r>
        <w:rPr>
          <w:i/>
        </w:rPr>
        <w:t>Cod CPV: 80000000-4</w:t>
      </w:r>
    </w:p>
    <w:p w:rsidR="00AC1F0F" w:rsidRPr="00E91463" w:rsidRDefault="00AC1F0F" w:rsidP="00CA0201">
      <w:pPr>
        <w:ind w:right="-421"/>
        <w:jc w:val="both"/>
        <w:rPr>
          <w:i/>
        </w:rPr>
      </w:pPr>
    </w:p>
    <w:p w:rsidR="00AC1F0F" w:rsidRPr="00E91463" w:rsidRDefault="00CA0201" w:rsidP="00CA0201">
      <w:pPr>
        <w:ind w:right="-421"/>
        <w:jc w:val="both"/>
        <w:rPr>
          <w:i/>
        </w:rPr>
      </w:pPr>
      <w:r>
        <w:rPr>
          <w:i/>
        </w:rPr>
        <w:t xml:space="preserve">      </w:t>
      </w:r>
      <w:r w:rsidR="00AC1F0F">
        <w:rPr>
          <w:i/>
        </w:rPr>
        <w:t>“_</w:t>
      </w:r>
      <w:r w:rsidR="003B72EB">
        <w:rPr>
          <w:i/>
        </w:rPr>
        <w:t>_</w:t>
      </w:r>
      <w:r w:rsidR="00AC1F0F">
        <w:rPr>
          <w:i/>
        </w:rPr>
        <w:t>__”</w:t>
      </w:r>
      <w:r w:rsidR="003E0827">
        <w:rPr>
          <w:i/>
        </w:rPr>
        <w:t xml:space="preserve"> </w:t>
      </w:r>
      <w:r w:rsidR="00AC1F0F">
        <w:rPr>
          <w:i/>
        </w:rPr>
        <w:t>ianuarie 2022</w:t>
      </w:r>
      <w:r w:rsidR="00AC1F0F" w:rsidRPr="00E91463">
        <w:rPr>
          <w:i/>
        </w:rPr>
        <w:tab/>
      </w:r>
      <w:r w:rsidR="00AC1F0F">
        <w:rPr>
          <w:i/>
        </w:rPr>
        <w:t xml:space="preserve">                                                                  </w:t>
      </w:r>
      <w:r>
        <w:rPr>
          <w:i/>
        </w:rPr>
        <w:t xml:space="preserve">         </w:t>
      </w:r>
      <w:r w:rsidR="00AC1F0F">
        <w:rPr>
          <w:i/>
        </w:rPr>
        <w:t xml:space="preserve">            Chișinău</w:t>
      </w:r>
    </w:p>
    <w:p w:rsidR="00AC1F0F" w:rsidRPr="00E91463" w:rsidRDefault="00AC1F0F" w:rsidP="00CA0201">
      <w:pPr>
        <w:ind w:right="-421"/>
        <w:jc w:val="both"/>
        <w:rPr>
          <w:i/>
        </w:rPr>
      </w:pPr>
      <w:r>
        <w:rPr>
          <w:i/>
        </w:rPr>
        <w:t xml:space="preserve">                                                                                                                           </w:t>
      </w:r>
    </w:p>
    <w:p w:rsidR="003E0827" w:rsidRDefault="003E0827" w:rsidP="00CA0201">
      <w:pPr>
        <w:ind w:right="-421" w:firstLine="539"/>
        <w:jc w:val="both"/>
      </w:pPr>
      <w:r w:rsidRPr="007064A0">
        <w:t>Prezentul contract este perfectat în temeiul pct. 12</w:t>
      </w:r>
      <w:r w:rsidRPr="007064A0">
        <w:rPr>
          <w:vertAlign w:val="superscript"/>
        </w:rPr>
        <w:t xml:space="preserve">1 </w:t>
      </w:r>
      <w:r w:rsidRPr="007064A0">
        <w:t xml:space="preserve">din Hotărârea Guvernului nr. 1077/ 2016 </w:t>
      </w:r>
      <w:r w:rsidRPr="007064A0">
        <w:rPr>
          <w:bCs/>
          <w:lang w:eastAsia="ro-RO"/>
        </w:rPr>
        <w:t>instituțiilor publice de învățământ profesional tehnic</w:t>
      </w:r>
      <w:r w:rsidRPr="007064A0">
        <w:t xml:space="preserve"> și </w:t>
      </w:r>
      <w:r w:rsidRPr="007064A0">
        <w:rPr>
          <w:bCs/>
          <w:lang w:eastAsia="ro-RO"/>
        </w:rPr>
        <w:t>planurile (comanda de stat) de pregătire a cadrelor</w:t>
      </w:r>
      <w:r w:rsidRPr="007064A0">
        <w:rPr>
          <w:rStyle w:val="a5"/>
          <w:bCs w:val="0"/>
        </w:rPr>
        <w:t xml:space="preserve"> </w:t>
      </w:r>
      <w:r w:rsidRPr="007064A0">
        <w:rPr>
          <w:bCs/>
          <w:lang w:eastAsia="ro-RO"/>
        </w:rPr>
        <w:t>de specialitate pe meserii, specialități în instituțiile de învățământ</w:t>
      </w:r>
      <w:r w:rsidRPr="007064A0">
        <w:rPr>
          <w:rStyle w:val="a5"/>
          <w:bCs w:val="0"/>
        </w:rPr>
        <w:t xml:space="preserve"> </w:t>
      </w:r>
      <w:r w:rsidRPr="007064A0">
        <w:rPr>
          <w:bCs/>
          <w:lang w:eastAsia="ro-RO"/>
        </w:rPr>
        <w:t>profesional tehnic</w:t>
      </w:r>
      <w:r w:rsidRPr="007064A0">
        <w:t xml:space="preserve">; Hotărârii de Guvern nr. 99/2007 cu privire la taxele de cazare în căminele instituţiilor de stat de învăţământ profesional tehnic secundar, profesional tehnic postsecundar, superior şi din domeniul ştiinţei şi inovării; prevederilor Hotărârii Guvernului nr. 1009/2006 cu privire la cuantumurile burselor, altor forme de ajutoare sociale pentru studenţii din instituţiile de învăţămînt superior, elevii din instituţiile de învăţământ profesional tehnic postsecundar şi postsecundar nonterţiar, profesional tehnic secundar şi persoanele care studiază în învăţămîntul postuniversitar și a Hotărârii Guvernului nr. 266/2006 cu privire la alimentarea gratuită a elevilor din sistemul de învăţământ profesional tehnic secundar se încheie între: </w:t>
      </w:r>
    </w:p>
    <w:p w:rsidR="00867C41" w:rsidRPr="007064A0" w:rsidRDefault="00867C41" w:rsidP="00CA0201">
      <w:pPr>
        <w:ind w:right="-421" w:firstLine="539"/>
        <w:jc w:val="both"/>
      </w:pPr>
    </w:p>
    <w:tbl>
      <w:tblPr>
        <w:tblW w:w="10060" w:type="dxa"/>
        <w:tblLayout w:type="fixed"/>
        <w:tblLook w:val="04A0" w:firstRow="1" w:lastRow="0" w:firstColumn="1" w:lastColumn="0" w:noHBand="0" w:noVBand="1"/>
      </w:tblPr>
      <w:tblGrid>
        <w:gridCol w:w="5098"/>
        <w:gridCol w:w="4962"/>
      </w:tblGrid>
      <w:tr w:rsidR="00AC1F0F" w:rsidRPr="00C00499" w:rsidTr="00867C41">
        <w:trPr>
          <w:trHeight w:val="381"/>
        </w:trPr>
        <w:tc>
          <w:tcPr>
            <w:tcW w:w="5098" w:type="dxa"/>
            <w:tcBorders>
              <w:top w:val="single" w:sz="4" w:space="0" w:color="auto"/>
              <w:left w:val="single" w:sz="4" w:space="0" w:color="auto"/>
              <w:bottom w:val="single" w:sz="4" w:space="0" w:color="auto"/>
              <w:right w:val="single" w:sz="4" w:space="0" w:color="auto"/>
            </w:tcBorders>
            <w:vAlign w:val="center"/>
          </w:tcPr>
          <w:p w:rsidR="00AC1F0F" w:rsidRPr="00C00499" w:rsidRDefault="00AC1F0F" w:rsidP="00385CE0">
            <w:pPr>
              <w:jc w:val="center"/>
              <w:rPr>
                <w:b/>
                <w:caps/>
                <w:sz w:val="40"/>
              </w:rPr>
            </w:pPr>
            <w:r>
              <w:rPr>
                <w:b/>
              </w:rPr>
              <w:t xml:space="preserve">Prestatorul </w:t>
            </w:r>
            <w:r w:rsidR="00220B38">
              <w:rPr>
                <w:b/>
              </w:rPr>
              <w:t xml:space="preserve">de </w:t>
            </w:r>
            <w:r>
              <w:rPr>
                <w:b/>
              </w:rPr>
              <w:t>servicii</w:t>
            </w:r>
          </w:p>
        </w:tc>
        <w:tc>
          <w:tcPr>
            <w:tcW w:w="4962" w:type="dxa"/>
            <w:tcBorders>
              <w:top w:val="single" w:sz="4" w:space="0" w:color="auto"/>
              <w:left w:val="single" w:sz="4" w:space="0" w:color="auto"/>
              <w:bottom w:val="single" w:sz="4" w:space="0" w:color="auto"/>
              <w:right w:val="single" w:sz="4" w:space="0" w:color="auto"/>
            </w:tcBorders>
            <w:vAlign w:val="center"/>
          </w:tcPr>
          <w:p w:rsidR="00AC1F0F" w:rsidRPr="00C00499" w:rsidRDefault="00AC1F0F" w:rsidP="00385CE0">
            <w:pPr>
              <w:jc w:val="center"/>
              <w:rPr>
                <w:b/>
                <w:caps/>
                <w:sz w:val="40"/>
              </w:rPr>
            </w:pPr>
            <w:r w:rsidRPr="0095589A">
              <w:rPr>
                <w:b/>
                <w:bCs/>
              </w:rPr>
              <w:t>Autoritatea contractantă</w:t>
            </w:r>
          </w:p>
        </w:tc>
      </w:tr>
      <w:tr w:rsidR="00AC1F0F" w:rsidRPr="000E7114" w:rsidTr="00867C41">
        <w:trPr>
          <w:trHeight w:val="3210"/>
        </w:trPr>
        <w:tc>
          <w:tcPr>
            <w:tcW w:w="5098" w:type="dxa"/>
            <w:tcBorders>
              <w:top w:val="single" w:sz="4" w:space="0" w:color="auto"/>
              <w:left w:val="single" w:sz="4" w:space="0" w:color="auto"/>
              <w:bottom w:val="single" w:sz="4" w:space="0" w:color="auto"/>
              <w:right w:val="single" w:sz="4" w:space="0" w:color="auto"/>
            </w:tcBorders>
          </w:tcPr>
          <w:p w:rsidR="00AC1F0F" w:rsidRPr="00C00499" w:rsidRDefault="00AC1F0F" w:rsidP="00C40AF0">
            <w:pPr>
              <w:rPr>
                <w:b/>
              </w:rPr>
            </w:pPr>
          </w:p>
          <w:p w:rsidR="00AC1F0F" w:rsidRPr="006A1545" w:rsidRDefault="00623BE7" w:rsidP="00C40AF0">
            <w:r w:rsidRPr="006A1545">
              <w:rPr>
                <w:b/>
              </w:rPr>
              <w:t>Instituția Publică Școala Profesională nr.4 din mun. Bălți</w:t>
            </w:r>
            <w:r w:rsidRPr="006A1545">
              <w:t>,</w:t>
            </w:r>
          </w:p>
          <w:p w:rsidR="00AC1F0F" w:rsidRPr="006A1545" w:rsidRDefault="00AC1F0F" w:rsidP="00C40AF0">
            <w:pPr>
              <w:rPr>
                <w:i/>
                <w:sz w:val="16"/>
                <w:szCs w:val="16"/>
              </w:rPr>
            </w:pPr>
            <w:r w:rsidRPr="006A1545">
              <w:rPr>
                <w:i/>
                <w:sz w:val="16"/>
                <w:szCs w:val="16"/>
              </w:rPr>
              <w:t>(denumirea completă a întreprinderii, asociaţiei, organizaţiei)</w:t>
            </w:r>
          </w:p>
          <w:p w:rsidR="00623BE7" w:rsidRPr="006A1545" w:rsidRDefault="00AC1F0F" w:rsidP="00C40AF0">
            <w:pPr>
              <w:rPr>
                <w:b/>
              </w:rPr>
            </w:pPr>
            <w:r w:rsidRPr="006A1545">
              <w:t xml:space="preserve">reprezentată prin </w:t>
            </w:r>
            <w:r w:rsidR="00623BE7" w:rsidRPr="006A1545">
              <w:rPr>
                <w:b/>
              </w:rPr>
              <w:t xml:space="preserve">director interimar, </w:t>
            </w:r>
          </w:p>
          <w:p w:rsidR="006A1545" w:rsidRDefault="00623BE7" w:rsidP="00C40AF0">
            <w:pPr>
              <w:rPr>
                <w:b/>
              </w:rPr>
            </w:pPr>
            <w:r w:rsidRPr="006A1545">
              <w:rPr>
                <w:b/>
              </w:rPr>
              <w:t>Mariana PĂDUREAC</w:t>
            </w:r>
            <w:r w:rsidR="00AC1F0F" w:rsidRPr="006A1545">
              <w:rPr>
                <w:b/>
              </w:rPr>
              <w:t>,</w:t>
            </w:r>
          </w:p>
          <w:p w:rsidR="00AC1F0F" w:rsidRPr="006A1545" w:rsidRDefault="00AC1F0F" w:rsidP="00C40AF0">
            <w:pPr>
              <w:rPr>
                <w:b/>
              </w:rPr>
            </w:pPr>
            <w:r w:rsidRPr="006A1545">
              <w:rPr>
                <w:i/>
                <w:sz w:val="16"/>
                <w:szCs w:val="16"/>
              </w:rPr>
              <w:t>(funcţia, numele, prenumele)</w:t>
            </w:r>
          </w:p>
          <w:p w:rsidR="00AC1F0F" w:rsidRPr="00014640" w:rsidRDefault="00AC1F0F" w:rsidP="00C40AF0">
            <w:r w:rsidRPr="00014640">
              <w:t xml:space="preserve">care acţionează în baza </w:t>
            </w:r>
            <w:r w:rsidR="00014640" w:rsidRPr="00014640">
              <w:rPr>
                <w:u w:val="single"/>
              </w:rPr>
              <w:t>statutului</w:t>
            </w:r>
            <w:r w:rsidRPr="00014640">
              <w:t>,</w:t>
            </w:r>
          </w:p>
          <w:p w:rsidR="00AC1F0F" w:rsidRPr="00C40AF0" w:rsidRDefault="00AC1F0F" w:rsidP="00C40AF0">
            <w:pPr>
              <w:rPr>
                <w:i/>
                <w:sz w:val="16"/>
                <w:szCs w:val="16"/>
              </w:rPr>
            </w:pPr>
            <w:r w:rsidRPr="00014640">
              <w:rPr>
                <w:i/>
                <w:sz w:val="16"/>
                <w:szCs w:val="16"/>
              </w:rPr>
              <w:t>(</w:t>
            </w:r>
            <w:r w:rsidRPr="00C40AF0">
              <w:rPr>
                <w:i/>
                <w:sz w:val="16"/>
                <w:szCs w:val="16"/>
              </w:rPr>
              <w:t>statut, regulament, hotărîre etc.)</w:t>
            </w:r>
          </w:p>
          <w:p w:rsidR="00AC1F0F" w:rsidRPr="00C40AF0" w:rsidRDefault="008752E8" w:rsidP="00C40AF0">
            <w:r w:rsidRPr="00C40AF0">
              <w:t xml:space="preserve">denumit(a) în continuare </w:t>
            </w:r>
            <w:r w:rsidR="00AC1F0F" w:rsidRPr="00C40AF0">
              <w:rPr>
                <w:i/>
              </w:rPr>
              <w:t>Prestator</w:t>
            </w:r>
          </w:p>
          <w:p w:rsidR="00AC1F0F" w:rsidRPr="00C40AF0" w:rsidRDefault="00C40AF0" w:rsidP="00C40AF0">
            <w:r w:rsidRPr="00C40AF0">
              <w:t>înregistrat la Instituția Publică Agenția Servicii Publice din 31 ianuarie 2020</w:t>
            </w:r>
            <w:r w:rsidR="00AC1F0F" w:rsidRPr="00C40AF0">
              <w:t>,</w:t>
            </w:r>
          </w:p>
          <w:p w:rsidR="00AC1F0F" w:rsidRPr="00C40AF0" w:rsidRDefault="00AC1F0F" w:rsidP="00C40AF0">
            <w:pPr>
              <w:rPr>
                <w:i/>
                <w:sz w:val="16"/>
                <w:szCs w:val="16"/>
              </w:rPr>
            </w:pPr>
            <w:r w:rsidRPr="00C40AF0">
              <w:rPr>
                <w:i/>
                <w:sz w:val="16"/>
                <w:szCs w:val="16"/>
              </w:rPr>
              <w:t>(se indică nr. şi data de înregistrare în Registrul de Stat)</w:t>
            </w:r>
          </w:p>
          <w:p w:rsidR="00AC1F0F" w:rsidRPr="00C00499" w:rsidRDefault="00AC1F0F" w:rsidP="00C40AF0">
            <w:pPr>
              <w:rPr>
                <w:b/>
                <w:caps/>
                <w:sz w:val="40"/>
              </w:rPr>
            </w:pPr>
            <w:r w:rsidRPr="00C40AF0">
              <w:t>pe de o parte,</w:t>
            </w:r>
          </w:p>
        </w:tc>
        <w:tc>
          <w:tcPr>
            <w:tcW w:w="4962" w:type="dxa"/>
            <w:tcBorders>
              <w:top w:val="single" w:sz="4" w:space="0" w:color="auto"/>
              <w:left w:val="single" w:sz="4" w:space="0" w:color="auto"/>
              <w:bottom w:val="single" w:sz="4" w:space="0" w:color="auto"/>
              <w:right w:val="single" w:sz="4" w:space="0" w:color="auto"/>
            </w:tcBorders>
          </w:tcPr>
          <w:p w:rsidR="00AC1F0F" w:rsidRPr="00220B38" w:rsidRDefault="00AC1F0F" w:rsidP="001618C1">
            <w:pPr>
              <w:spacing w:line="276" w:lineRule="auto"/>
              <w:rPr>
                <w:b/>
                <w:sz w:val="26"/>
                <w:szCs w:val="26"/>
              </w:rPr>
            </w:pPr>
          </w:p>
          <w:p w:rsidR="00AC1F0F" w:rsidRPr="00C00499" w:rsidRDefault="00220B38" w:rsidP="00867C41">
            <w:pPr>
              <w:spacing w:line="276" w:lineRule="auto"/>
              <w:jc w:val="center"/>
              <w:rPr>
                <w:i/>
                <w:sz w:val="18"/>
                <w:szCs w:val="18"/>
              </w:rPr>
            </w:pPr>
            <w:r w:rsidRPr="00867C41">
              <w:rPr>
                <w:b/>
              </w:rPr>
              <w:t>Ministerul Educației și Cercetării</w:t>
            </w:r>
          </w:p>
          <w:p w:rsidR="00AC1F0F" w:rsidRPr="00C00499" w:rsidRDefault="00220B38" w:rsidP="00867C41">
            <w:pPr>
              <w:spacing w:after="120" w:line="276" w:lineRule="auto"/>
              <w:rPr>
                <w:b/>
                <w:caps/>
                <w:sz w:val="40"/>
              </w:rPr>
            </w:pPr>
            <w:r>
              <w:t>reprezentat</w:t>
            </w:r>
            <w:r w:rsidR="00AC1F0F" w:rsidRPr="00C00499">
              <w:t xml:space="preserve"> prin </w:t>
            </w:r>
            <w:r>
              <w:rPr>
                <w:b/>
              </w:rPr>
              <w:t>Ministru, Anatolie TOPALĂ</w:t>
            </w:r>
            <w:r w:rsidR="00AC1F0F" w:rsidRPr="00C00499">
              <w:t>,</w:t>
            </w:r>
            <w:r w:rsidR="00867C41">
              <w:t xml:space="preserve"> </w:t>
            </w:r>
            <w:r w:rsidR="00AC1F0F" w:rsidRPr="00C00499">
              <w:t xml:space="preserve">care acţionează în baza </w:t>
            </w:r>
            <w:r w:rsidRPr="007064A0">
              <w:rPr>
                <w:u w:val="single"/>
              </w:rPr>
              <w:t>Regulamentului cu privire la organizarea și funcționarea Ministerului Educației și Cercetării</w:t>
            </w:r>
            <w:r>
              <w:rPr>
                <w:b/>
              </w:rPr>
              <w:t xml:space="preserve">, </w:t>
            </w:r>
            <w:r w:rsidR="00AC1F0F" w:rsidRPr="00C00499">
              <w:t xml:space="preserve">denumit(a) în continuare </w:t>
            </w:r>
            <w:r w:rsidR="008752E8">
              <w:rPr>
                <w:i/>
              </w:rPr>
              <w:t>Fondator</w:t>
            </w:r>
            <w:r w:rsidR="00AC1F0F">
              <w:t>/</w:t>
            </w:r>
            <w:r w:rsidR="00AC1F0F" w:rsidRPr="009B04A2">
              <w:rPr>
                <w:i/>
                <w:iCs/>
              </w:rPr>
              <w:t>Beneficiar</w:t>
            </w:r>
            <w:r w:rsidR="00867C41">
              <w:rPr>
                <w:i/>
                <w:iCs/>
              </w:rPr>
              <w:t xml:space="preserve"> </w:t>
            </w:r>
            <w:r w:rsidR="00AC1F0F" w:rsidRPr="00DC72B4">
              <w:rPr>
                <w:bCs/>
              </w:rPr>
              <w:t>pe de altă parte</w:t>
            </w:r>
            <w:r w:rsidR="00AC1F0F" w:rsidRPr="00C00499">
              <w:t>,</w:t>
            </w:r>
          </w:p>
        </w:tc>
      </w:tr>
    </w:tbl>
    <w:p w:rsidR="00AC1F0F" w:rsidRDefault="00AC1F0F" w:rsidP="00CA0201">
      <w:pPr>
        <w:ind w:right="-421"/>
        <w:jc w:val="both"/>
        <w:rPr>
          <w:iCs/>
        </w:rPr>
      </w:pPr>
      <w:r w:rsidRPr="00E91463">
        <w:rPr>
          <w:iCs/>
        </w:rPr>
        <w:t>ambii (denumiţi(te) în continuare Părţi), au încheiat prezentul Contract referitor la următoarele:</w:t>
      </w:r>
    </w:p>
    <w:p w:rsidR="00CA0201" w:rsidRDefault="00CA0201" w:rsidP="00CA0201">
      <w:pPr>
        <w:ind w:right="-421"/>
        <w:jc w:val="both"/>
        <w:rPr>
          <w:b/>
          <w:bCs/>
          <w:iCs/>
        </w:rPr>
      </w:pPr>
    </w:p>
    <w:p w:rsidR="00A3745E" w:rsidRDefault="000E7114" w:rsidP="00A3745E">
      <w:pPr>
        <w:ind w:right="-421"/>
        <w:jc w:val="both"/>
        <w:rPr>
          <w:b/>
          <w:bCs/>
          <w:iCs/>
        </w:rPr>
      </w:pPr>
      <w:r>
        <w:rPr>
          <w:b/>
          <w:bCs/>
          <w:iCs/>
        </w:rPr>
        <w:t xml:space="preserve">1. </w:t>
      </w:r>
      <w:r w:rsidR="008752E8" w:rsidRPr="00227010">
        <w:rPr>
          <w:b/>
          <w:bCs/>
          <w:iCs/>
        </w:rPr>
        <w:t xml:space="preserve">Obiectul </w:t>
      </w:r>
      <w:r w:rsidR="00867C41">
        <w:rPr>
          <w:b/>
          <w:bCs/>
          <w:iCs/>
        </w:rPr>
        <w:t>c</w:t>
      </w:r>
      <w:r w:rsidR="008752E8" w:rsidRPr="00227010">
        <w:rPr>
          <w:b/>
          <w:bCs/>
          <w:iCs/>
        </w:rPr>
        <w:t>ontractului</w:t>
      </w:r>
    </w:p>
    <w:p w:rsidR="00220B38" w:rsidRPr="00A3745E" w:rsidRDefault="00220B38" w:rsidP="00A3745E">
      <w:pPr>
        <w:ind w:right="-421" w:firstLine="720"/>
        <w:jc w:val="both"/>
        <w:rPr>
          <w:b/>
          <w:bCs/>
          <w:iCs/>
        </w:rPr>
      </w:pPr>
      <w:r w:rsidRPr="007064A0">
        <w:t>1.1. Prin prezentul contract Prestatorul se obligă să furnizeze servicii educaționale pentru realizarea planului „Comenzii de stat” de pregătire a cadrelor de specialitate în învățământul profesional tehnic secundar nivelul 3 ISCED, pentru anul financiar 202</w:t>
      </w:r>
      <w:r>
        <w:t>2</w:t>
      </w:r>
      <w:r w:rsidRPr="007064A0">
        <w:t xml:space="preserve"> conform Ordinului</w:t>
      </w:r>
      <w:r w:rsidRPr="007064A0">
        <w:rPr>
          <w:color w:val="FF0000"/>
        </w:rPr>
        <w:t xml:space="preserve">  </w:t>
      </w:r>
      <w:r w:rsidRPr="00220B38">
        <w:t>nr. 06 din 10.01.2022</w:t>
      </w:r>
      <w:r w:rsidRPr="007064A0">
        <w:t xml:space="preserve">, în temeiul </w:t>
      </w:r>
      <w:r w:rsidRPr="007064A0">
        <w:rPr>
          <w:b/>
        </w:rPr>
        <w:t>art. 5, alin. (1) lit. k) al Legii nr. 131/2015 privind achizițiile publice</w:t>
      </w:r>
      <w:r w:rsidRPr="007064A0">
        <w:t>.</w:t>
      </w:r>
    </w:p>
    <w:p w:rsidR="00220B38" w:rsidRDefault="00220B38" w:rsidP="003D6094">
      <w:pPr>
        <w:tabs>
          <w:tab w:val="left" w:pos="1134"/>
        </w:tabs>
        <w:suppressAutoHyphens/>
        <w:ind w:right="-421"/>
        <w:jc w:val="both"/>
      </w:pPr>
      <w:r w:rsidRPr="007064A0">
        <w:t xml:space="preserve">           1.2. La rândul său Fondatorul se obligă:</w:t>
      </w:r>
    </w:p>
    <w:p w:rsidR="00220B38" w:rsidRPr="007064A0" w:rsidRDefault="00220B38" w:rsidP="003D6094">
      <w:pPr>
        <w:shd w:val="clear" w:color="auto" w:fill="FFFFFF"/>
        <w:ind w:right="-421" w:firstLine="540"/>
        <w:jc w:val="both"/>
        <w:rPr>
          <w:color w:val="333333"/>
        </w:rPr>
      </w:pPr>
      <w:r w:rsidRPr="007064A0">
        <w:lastRenderedPageBreak/>
        <w:t xml:space="preserve">- să achite costul serviciilor educaționale de pregătire a cadrelor de specialitate în învățământul profesional tehnic secundar nivelul 3 ISCED determinat conform </w:t>
      </w:r>
      <w:r w:rsidRPr="007064A0">
        <w:rPr>
          <w:bCs/>
          <w:i/>
          <w:color w:val="262626"/>
        </w:rPr>
        <w:t xml:space="preserve">Regulamentului privind finanţarea în bază de cost per elev a instituţiilor publice de învăţămînt profesional tehnic, </w:t>
      </w:r>
      <w:r w:rsidRPr="007064A0">
        <w:rPr>
          <w:bCs/>
          <w:color w:val="262626"/>
        </w:rPr>
        <w:t xml:space="preserve">aprobat prin </w:t>
      </w:r>
      <w:r w:rsidRPr="007064A0">
        <w:t>Hotărârea Guvernului nr. 1077/ 2016 cu privire la finanţarea în bază de cost per elev a instituţiilor publice de învăţământ profesional tehnic;</w:t>
      </w:r>
    </w:p>
    <w:p w:rsidR="00220B38" w:rsidRPr="007064A0" w:rsidRDefault="00220B38" w:rsidP="003D6094">
      <w:pPr>
        <w:ind w:right="-421" w:firstLine="567"/>
        <w:jc w:val="both"/>
      </w:pPr>
      <w:r w:rsidRPr="007064A0">
        <w:t xml:space="preserve">- să aloce resurse financiare pentru întreținerea căminelor studențești reieșind din prevederile Hotărârii Guvernului nr. 99/2007 </w:t>
      </w:r>
      <w:r w:rsidRPr="007064A0">
        <w:rPr>
          <w:i/>
        </w:rPr>
        <w:t>cu privire la taxele de cazare în căminele instituţiilor de stat de învăţământ profesional tehnic secundar, profesional tehnic postsecundar, superior şi din domeniul ştiinţei şi inovării</w:t>
      </w:r>
      <w:r w:rsidRPr="007064A0">
        <w:t>;</w:t>
      </w:r>
    </w:p>
    <w:p w:rsidR="00220B38" w:rsidRPr="007064A0" w:rsidRDefault="00220B38" w:rsidP="003D6094">
      <w:pPr>
        <w:ind w:right="-421" w:firstLine="567"/>
        <w:jc w:val="both"/>
      </w:pPr>
      <w:r w:rsidRPr="007064A0">
        <w:t xml:space="preserve">- să aloce resurse financiare pentru burse în conformitate cu Hotărârea Guvernului nr. 1009/2006 </w:t>
      </w:r>
      <w:r w:rsidRPr="007064A0">
        <w:rPr>
          <w:i/>
        </w:rPr>
        <w:t>cu privire la cuantumurile burselor, altor forme de ajutoare sociale pentru studenţii din instituţiile de învăţământ superior, elevii din instituţiile de învăţământ profesional tehnic postsecundar şi postsecundar nonterţiar, profesional tehnic secundar şi persoanele care studiază în învăţământul postuniversitar</w:t>
      </w:r>
      <w:r w:rsidRPr="007064A0">
        <w:t>;</w:t>
      </w:r>
    </w:p>
    <w:p w:rsidR="00220B38" w:rsidRDefault="00220B38" w:rsidP="003D6094">
      <w:pPr>
        <w:ind w:right="-421" w:firstLine="567"/>
        <w:jc w:val="both"/>
        <w:rPr>
          <w:i/>
        </w:rPr>
      </w:pPr>
      <w:r w:rsidRPr="007064A0">
        <w:t xml:space="preserve">- să aloce resurse financiare pentru alimentarea elevilor în conformitate cu Hotărârea Guvernului nr. 266/2006 </w:t>
      </w:r>
      <w:r w:rsidRPr="007064A0">
        <w:rPr>
          <w:i/>
        </w:rPr>
        <w:t>cu privire la alimentarea gratuită a elevilor din sistemul de învăţământ profesional tehnic secundar.</w:t>
      </w:r>
    </w:p>
    <w:p w:rsidR="00AC1F0F" w:rsidRPr="00E91463" w:rsidRDefault="005C0FE4" w:rsidP="003D6094">
      <w:pPr>
        <w:ind w:right="-421"/>
        <w:jc w:val="both"/>
        <w:rPr>
          <w:iCs/>
        </w:rPr>
      </w:pPr>
      <w:r>
        <w:rPr>
          <w:iCs/>
        </w:rPr>
        <w:t xml:space="preserve">1.3 </w:t>
      </w:r>
      <w:r w:rsidR="00AC1F0F" w:rsidRPr="00E91463">
        <w:rPr>
          <w:iCs/>
        </w:rPr>
        <w:t>Următoarele documente vor fi considerate părţi componente ale Contractului:</w:t>
      </w:r>
    </w:p>
    <w:p w:rsidR="003E0827" w:rsidRPr="007064A0" w:rsidRDefault="003E0827" w:rsidP="003D6094">
      <w:pPr>
        <w:numPr>
          <w:ilvl w:val="0"/>
          <w:numId w:val="4"/>
        </w:numPr>
        <w:suppressAutoHyphens/>
        <w:ind w:left="142" w:right="-421" w:firstLine="142"/>
        <w:jc w:val="both"/>
      </w:pPr>
      <w:r w:rsidRPr="007064A0">
        <w:t>Graficul prestării serviciilor (anexa nr. 1);</w:t>
      </w:r>
    </w:p>
    <w:p w:rsidR="003E0827" w:rsidRPr="007064A0" w:rsidRDefault="003E0827" w:rsidP="003D6094">
      <w:pPr>
        <w:numPr>
          <w:ilvl w:val="0"/>
          <w:numId w:val="4"/>
        </w:numPr>
        <w:suppressAutoHyphens/>
        <w:ind w:left="142" w:right="-421" w:firstLine="142"/>
        <w:jc w:val="both"/>
      </w:pPr>
      <w:r w:rsidRPr="007064A0">
        <w:t xml:space="preserve">Efectivul de elevi la  01 </w:t>
      </w:r>
      <w:r>
        <w:rPr>
          <w:color w:val="FF0000"/>
        </w:rPr>
        <w:t>octombrie</w:t>
      </w:r>
      <w:r w:rsidRPr="00022DDD">
        <w:rPr>
          <w:color w:val="FF0000"/>
        </w:rPr>
        <w:t xml:space="preserve"> 202</w:t>
      </w:r>
      <w:r>
        <w:rPr>
          <w:color w:val="FF0000"/>
        </w:rPr>
        <w:t>1</w:t>
      </w:r>
      <w:r w:rsidRPr="007064A0">
        <w:t xml:space="preserve"> (anexa nr. 2);</w:t>
      </w:r>
    </w:p>
    <w:p w:rsidR="003E0827" w:rsidRPr="007064A0" w:rsidRDefault="003E0827" w:rsidP="003D6094">
      <w:pPr>
        <w:numPr>
          <w:ilvl w:val="0"/>
          <w:numId w:val="4"/>
        </w:numPr>
        <w:suppressAutoHyphens/>
        <w:ind w:left="142" w:right="-421" w:firstLine="142"/>
        <w:jc w:val="both"/>
      </w:pPr>
      <w:r w:rsidRPr="007064A0">
        <w:t>Repartizarea  resurselor finaciare pentru anul 202</w:t>
      </w:r>
      <w:r>
        <w:t>2</w:t>
      </w:r>
      <w:r w:rsidRPr="007064A0">
        <w:t xml:space="preserve"> (anexa nr. 3);</w:t>
      </w:r>
    </w:p>
    <w:p w:rsidR="003E0827" w:rsidRPr="007064A0" w:rsidRDefault="003E0827" w:rsidP="003D6094">
      <w:pPr>
        <w:numPr>
          <w:ilvl w:val="0"/>
          <w:numId w:val="4"/>
        </w:numPr>
        <w:suppressAutoHyphens/>
        <w:ind w:left="142" w:right="-421" w:firstLine="142"/>
        <w:jc w:val="both"/>
      </w:pPr>
      <w:r w:rsidRPr="007064A0">
        <w:t>Calculul cheltuielilor aferente burselor (anexa nr. 4);</w:t>
      </w:r>
    </w:p>
    <w:p w:rsidR="003E0827" w:rsidRPr="007064A0" w:rsidRDefault="003E0827" w:rsidP="003D6094">
      <w:pPr>
        <w:numPr>
          <w:ilvl w:val="0"/>
          <w:numId w:val="4"/>
        </w:numPr>
        <w:suppressAutoHyphens/>
        <w:ind w:left="142" w:right="-421" w:firstLine="142"/>
        <w:jc w:val="both"/>
      </w:pPr>
      <w:r w:rsidRPr="007064A0">
        <w:t>Calculul cheltuielilor aferente alimentației elevilor (anexa nr. 5)</w:t>
      </w:r>
    </w:p>
    <w:p w:rsidR="003E0827" w:rsidRPr="007064A0" w:rsidRDefault="003E0827" w:rsidP="003D6094">
      <w:pPr>
        <w:numPr>
          <w:ilvl w:val="0"/>
          <w:numId w:val="4"/>
        </w:numPr>
        <w:spacing w:after="200" w:line="276" w:lineRule="auto"/>
        <w:ind w:left="142" w:right="-421" w:firstLine="142"/>
      </w:pPr>
      <w:r w:rsidRPr="007064A0">
        <w:t xml:space="preserve">Darea de seamă cu privire </w:t>
      </w:r>
      <w:r w:rsidRPr="00573477">
        <w:t>la cheltuielile efective lunare</w:t>
      </w:r>
      <w:r>
        <w:rPr>
          <w:b/>
        </w:rPr>
        <w:t xml:space="preserve"> </w:t>
      </w:r>
      <w:r w:rsidRPr="007064A0">
        <w:t>(anexa nr.6).</w:t>
      </w:r>
    </w:p>
    <w:p w:rsidR="003E0827" w:rsidRPr="007064A0" w:rsidRDefault="003E0827" w:rsidP="00867C41">
      <w:pPr>
        <w:tabs>
          <w:tab w:val="left" w:pos="900"/>
          <w:tab w:val="left" w:pos="1080"/>
        </w:tabs>
        <w:suppressAutoHyphens/>
        <w:ind w:right="-421"/>
        <w:jc w:val="both"/>
      </w:pPr>
      <w:r w:rsidRPr="007064A0">
        <w:t xml:space="preserve">1. 4.  Finanțarea serviciilor educaționale prestate de instituțiile de învățământ, conform Planului (Comenzii de Stat) de pregătire a cadrelor de specialitate cu finanțare din bugetul de stat se asigură de fondator. Mijloacele financiare sunt </w:t>
      </w:r>
      <w:r w:rsidRPr="007064A0">
        <w:rPr>
          <w:color w:val="FF0000"/>
        </w:rPr>
        <w:t xml:space="preserve">aprobate </w:t>
      </w:r>
      <w:r>
        <w:rPr>
          <w:color w:val="FF0000"/>
        </w:rPr>
        <w:t>în</w:t>
      </w:r>
      <w:r>
        <w:t xml:space="preserve"> Legea </w:t>
      </w:r>
      <w:r w:rsidRPr="007064A0">
        <w:t>Bugetului de Stat pe anul 202</w:t>
      </w:r>
      <w:r>
        <w:t>2</w:t>
      </w:r>
      <w:r w:rsidRPr="007064A0">
        <w:t xml:space="preserve"> nr</w:t>
      </w:r>
      <w:r w:rsidRPr="00EE6F90">
        <w:rPr>
          <w:color w:val="FF0000"/>
        </w:rPr>
        <w:t>. 2</w:t>
      </w:r>
      <w:r>
        <w:rPr>
          <w:color w:val="FF0000"/>
        </w:rPr>
        <w:t>05</w:t>
      </w:r>
      <w:r w:rsidRPr="00EE6F90">
        <w:rPr>
          <w:color w:val="FF0000"/>
        </w:rPr>
        <w:t>/202</w:t>
      </w:r>
      <w:r>
        <w:rPr>
          <w:color w:val="FF0000"/>
        </w:rPr>
        <w:t>1</w:t>
      </w:r>
      <w:r w:rsidRPr="007064A0">
        <w:t xml:space="preserve"> și </w:t>
      </w:r>
      <w:r w:rsidRPr="007064A0">
        <w:rPr>
          <w:color w:val="FF0000"/>
        </w:rPr>
        <w:t>alocate conform</w:t>
      </w:r>
      <w:r w:rsidRPr="007064A0">
        <w:t xml:space="preserve"> Hotărârii Guvernului nr. 1077/ 2016 cu privire la finanţarea în bază de cost per elev a instituţiilor publice de învăţământ profesional tehnic.</w:t>
      </w:r>
    </w:p>
    <w:p w:rsidR="00AC1F0F" w:rsidRPr="008752E8" w:rsidRDefault="003E0827" w:rsidP="00867C41">
      <w:pPr>
        <w:tabs>
          <w:tab w:val="left" w:pos="900"/>
          <w:tab w:val="left" w:pos="1080"/>
        </w:tabs>
        <w:suppressAutoHyphens/>
        <w:ind w:right="-421"/>
        <w:jc w:val="both"/>
        <w:rPr>
          <w:i/>
        </w:rPr>
      </w:pPr>
      <w:r w:rsidRPr="007064A0">
        <w:t xml:space="preserve">1. 5. Mijloacele financiare aprobate în bugetul de stat se alocă pentru anul financiar şi se transferă de către </w:t>
      </w:r>
      <w:r w:rsidRPr="007064A0">
        <w:rPr>
          <w:b/>
        </w:rPr>
        <w:t>Fondator</w:t>
      </w:r>
      <w:r w:rsidRPr="007064A0">
        <w:t xml:space="preserve"> la contul unic trezorerial (indicat în prezentul contract) al </w:t>
      </w:r>
      <w:r w:rsidRPr="007064A0">
        <w:rPr>
          <w:b/>
        </w:rPr>
        <w:t>Prestatorului</w:t>
      </w:r>
      <w:r w:rsidRPr="007064A0">
        <w:rPr>
          <w:i/>
        </w:rPr>
        <w:t>.</w:t>
      </w:r>
    </w:p>
    <w:p w:rsidR="00AC1F0F" w:rsidRPr="00E91463" w:rsidRDefault="00AC1F0F" w:rsidP="003D6094">
      <w:pPr>
        <w:ind w:right="-421"/>
        <w:jc w:val="both"/>
        <w:rPr>
          <w:iCs/>
        </w:rPr>
      </w:pPr>
    </w:p>
    <w:p w:rsidR="00AC1F0F" w:rsidRPr="00227010" w:rsidRDefault="00AC1F0F" w:rsidP="003D6094">
      <w:pPr>
        <w:ind w:right="-421"/>
        <w:jc w:val="both"/>
        <w:rPr>
          <w:b/>
          <w:bCs/>
          <w:iCs/>
        </w:rPr>
      </w:pPr>
      <w:r w:rsidRPr="00227010">
        <w:rPr>
          <w:b/>
          <w:bCs/>
          <w:iCs/>
        </w:rPr>
        <w:t>2</w:t>
      </w:r>
      <w:r w:rsidR="002A430A">
        <w:rPr>
          <w:b/>
          <w:bCs/>
          <w:iCs/>
        </w:rPr>
        <w:t xml:space="preserve">. </w:t>
      </w:r>
      <w:r w:rsidR="005C0FE4">
        <w:rPr>
          <w:b/>
          <w:bCs/>
          <w:iCs/>
        </w:rPr>
        <w:t xml:space="preserve">Termeni şi condiţii de </w:t>
      </w:r>
      <w:r>
        <w:rPr>
          <w:b/>
          <w:bCs/>
          <w:iCs/>
        </w:rPr>
        <w:t>prestare</w:t>
      </w:r>
    </w:p>
    <w:p w:rsidR="00AF732A" w:rsidRPr="007064A0" w:rsidRDefault="00AF732A" w:rsidP="00867C41">
      <w:pPr>
        <w:ind w:right="-421" w:firstLine="426"/>
        <w:jc w:val="both"/>
      </w:pPr>
      <w:r w:rsidRPr="007064A0">
        <w:t xml:space="preserve">2. 1. Termenul de valabilitate a prezentului contract este până la </w:t>
      </w:r>
      <w:r w:rsidRPr="007064A0">
        <w:rPr>
          <w:u w:val="single"/>
        </w:rPr>
        <w:t>31 decembrie 202</w:t>
      </w:r>
      <w:r>
        <w:rPr>
          <w:u w:val="single"/>
        </w:rPr>
        <w:t>2.</w:t>
      </w:r>
      <w:r w:rsidRPr="007064A0">
        <w:t xml:space="preserve"> </w:t>
      </w:r>
    </w:p>
    <w:p w:rsidR="00AF732A" w:rsidRPr="007064A0" w:rsidRDefault="00AF732A" w:rsidP="00867C41">
      <w:pPr>
        <w:ind w:right="-421" w:firstLine="426"/>
        <w:jc w:val="both"/>
      </w:pPr>
      <w:r w:rsidRPr="007064A0">
        <w:t>2. 2</w:t>
      </w:r>
      <w:r w:rsidRPr="007064A0">
        <w:rPr>
          <w:i/>
        </w:rPr>
        <w:t>.</w:t>
      </w:r>
      <w:r w:rsidRPr="007064A0">
        <w:t xml:space="preserve"> Durata de prestare a serviciilor reglementate în prezentul contract este de 12 luni și constituie o parte componentă din durata studiilor, stabilită de legislație. </w:t>
      </w:r>
    </w:p>
    <w:p w:rsidR="00AF732A" w:rsidRPr="007064A0" w:rsidRDefault="00AF732A" w:rsidP="00867C41">
      <w:pPr>
        <w:ind w:right="-421" w:firstLine="426"/>
        <w:jc w:val="both"/>
      </w:pPr>
      <w:r w:rsidRPr="007064A0">
        <w:t xml:space="preserve">2. 3. </w:t>
      </w:r>
      <w:r w:rsidRPr="002A430A">
        <w:t>Prestatorul va prezenta Fondatorului</w:t>
      </w:r>
      <w:r w:rsidRPr="007064A0">
        <w:t xml:space="preserve"> rapoarte specifice, conform formularelor aprobate prin ordinul ministrului finanțelor, în termenele și modul stabilit.</w:t>
      </w:r>
    </w:p>
    <w:p w:rsidR="00AC1F0F" w:rsidRPr="00E91463" w:rsidRDefault="00AC1F0F" w:rsidP="003D6094">
      <w:pPr>
        <w:ind w:right="-421"/>
        <w:jc w:val="both"/>
        <w:rPr>
          <w:iCs/>
        </w:rPr>
      </w:pPr>
    </w:p>
    <w:p w:rsidR="00AC1F0F" w:rsidRPr="00E91463" w:rsidRDefault="002A430A" w:rsidP="003D6094">
      <w:pPr>
        <w:ind w:right="-421"/>
        <w:jc w:val="both"/>
        <w:rPr>
          <w:iCs/>
        </w:rPr>
      </w:pPr>
      <w:r>
        <w:rPr>
          <w:b/>
          <w:bCs/>
          <w:iCs/>
        </w:rPr>
        <w:t xml:space="preserve">3. </w:t>
      </w:r>
      <w:r w:rsidR="00AC1F0F" w:rsidRPr="00227010">
        <w:rPr>
          <w:b/>
          <w:bCs/>
          <w:iCs/>
        </w:rPr>
        <w:t>Preţul şi condiţii de plată</w:t>
      </w:r>
    </w:p>
    <w:p w:rsidR="00AF732A" w:rsidRPr="007064A0" w:rsidRDefault="00AF732A" w:rsidP="003D6094">
      <w:pPr>
        <w:ind w:right="-421" w:firstLine="426"/>
        <w:jc w:val="both"/>
      </w:pPr>
      <w:r w:rsidRPr="007064A0">
        <w:t>3.1. Prețul serviciilor pentru realizarea Comenzii de Stat pentru anul 202</w:t>
      </w:r>
      <w:r w:rsidR="0028295E" w:rsidRPr="0028295E">
        <w:t>2</w:t>
      </w:r>
      <w:r w:rsidRPr="007064A0">
        <w:t xml:space="preserve"> și volumul alocațiilor pentru acoperirea cheltuielilor de întreținere a căminelor, acordarea burselor și acoperirea cheltuielilor aferente alimentației elevilor constitue în </w:t>
      </w:r>
      <w:r w:rsidRPr="00BD397E">
        <w:t xml:space="preserve">total </w:t>
      </w:r>
      <w:r w:rsidR="00623BE7" w:rsidRPr="00BD397E">
        <w:rPr>
          <w:b/>
        </w:rPr>
        <w:t>19 370 500</w:t>
      </w:r>
      <w:r w:rsidRPr="00BD397E">
        <w:rPr>
          <w:b/>
        </w:rPr>
        <w:t xml:space="preserve"> lei MD</w:t>
      </w:r>
      <w:r w:rsidRPr="00BD397E">
        <w:t xml:space="preserve">  (</w:t>
      </w:r>
      <w:r w:rsidR="003D1763" w:rsidRPr="00BD397E">
        <w:t>nouăsprezece milioane trei sute șaptezeci mii cinci sute</w:t>
      </w:r>
      <w:r w:rsidRPr="00BD397E">
        <w:t xml:space="preserve"> lei), ținând cont de efectivul de elevi la </w:t>
      </w:r>
      <w:r w:rsidRPr="00BD397E">
        <w:rPr>
          <w:color w:val="FF0000"/>
        </w:rPr>
        <w:t>01.10. 2021</w:t>
      </w:r>
      <w:r w:rsidRPr="00BD397E">
        <w:t xml:space="preserve"> prezentat în anexa. nr. 2.</w:t>
      </w:r>
    </w:p>
    <w:p w:rsidR="00AF732A" w:rsidRPr="007064A0" w:rsidRDefault="00AF732A" w:rsidP="003D6094">
      <w:pPr>
        <w:ind w:right="-421" w:firstLine="426"/>
        <w:jc w:val="both"/>
      </w:pPr>
      <w:r w:rsidRPr="007064A0">
        <w:t xml:space="preserve">3. 2. Finanțarea alocată Prestatorului se folosește pentru: </w:t>
      </w:r>
    </w:p>
    <w:p w:rsidR="00AF732A" w:rsidRPr="007064A0" w:rsidRDefault="00AF732A" w:rsidP="003D6094">
      <w:pPr>
        <w:ind w:right="-421" w:firstLine="426"/>
        <w:jc w:val="both"/>
      </w:pPr>
      <w:r w:rsidRPr="007064A0">
        <w:t>- prestarea serviciilor educaționale determinate conform pct.1.2. și indicate în Anexa nr. 1 la prezentul contract;</w:t>
      </w:r>
    </w:p>
    <w:p w:rsidR="00AF732A" w:rsidRPr="007064A0" w:rsidRDefault="00AF732A" w:rsidP="003D6094">
      <w:pPr>
        <w:ind w:right="-421" w:firstLine="426"/>
        <w:jc w:val="both"/>
      </w:pPr>
      <w:r w:rsidRPr="007064A0">
        <w:lastRenderedPageBreak/>
        <w:t>- pentru acoperirea cheltuielilor de întreținere a căminelor, acordarea burselor și acoperirea cheltuielilor aferente alimentației elevilor determinate conform pct.1.2. din contract și indicate în anexa nr. 3,  anexa nr. 4 și nr. 5 la prezentul contract.</w:t>
      </w:r>
    </w:p>
    <w:p w:rsidR="00AF732A" w:rsidRPr="007064A0" w:rsidRDefault="00AF732A" w:rsidP="00254982">
      <w:pPr>
        <w:ind w:left="142" w:right="-421" w:firstLine="284"/>
        <w:jc w:val="both"/>
      </w:pPr>
      <w:r w:rsidRPr="007064A0">
        <w:t>3. 3. Folosirea mijloacelor financiare alocate în baza prezentului contract în alte scopuri decât cele indicate la pct.3.2. se consideră executare necorespunzătoare a obligației asumate și constituie temei de rezoluțiune a prezentului contract în partea acestei/ acestor obligații, dacă Prestatorul refuză restituirea mijloacelor financiare folosite contrar destinației.</w:t>
      </w:r>
    </w:p>
    <w:p w:rsidR="00AF732A" w:rsidRPr="007064A0" w:rsidRDefault="00AF732A" w:rsidP="00254982">
      <w:pPr>
        <w:ind w:left="142" w:right="-421" w:firstLine="284"/>
        <w:jc w:val="both"/>
      </w:pPr>
      <w:r w:rsidRPr="007064A0">
        <w:t xml:space="preserve">3. 4. Finanțarea de la bugetul de stat se va efectua lunar de către </w:t>
      </w:r>
      <w:r w:rsidRPr="007064A0">
        <w:rPr>
          <w:b/>
        </w:rPr>
        <w:t>Fondator</w:t>
      </w:r>
      <w:r w:rsidRPr="007064A0">
        <w:t xml:space="preserve"> la contul </w:t>
      </w:r>
      <w:r w:rsidRPr="007064A0">
        <w:rPr>
          <w:b/>
        </w:rPr>
        <w:t>Prestatorului:</w:t>
      </w:r>
      <w:r w:rsidRPr="007064A0">
        <w:t xml:space="preserve"> conform facturii fiscale, în care se vor </w:t>
      </w:r>
      <w:r w:rsidRPr="00303B36">
        <w:t>indica cheltuielile efective</w:t>
      </w:r>
      <w:r w:rsidRPr="007064A0">
        <w:t xml:space="preserve">, ce nu vor depăși volumul lunar de finanțare specificat în anexa nr. 1 parte integrantă a Contractului, a actului de prestare a serviciilor și a dării de </w:t>
      </w:r>
      <w:r w:rsidRPr="00303B36">
        <w:t xml:space="preserve">seamă privind cheltuielile efective (anexa </w:t>
      </w:r>
      <w:r w:rsidRPr="007064A0">
        <w:t>nr. 6). Orice modificare la graficul și volumului lunar de finanțare specificate în anexa nr. 1 se va efectua cu aprobarea Fondatorului;</w:t>
      </w:r>
    </w:p>
    <w:p w:rsidR="00AF732A" w:rsidRPr="007064A0" w:rsidRDefault="00AF732A" w:rsidP="00254982">
      <w:pPr>
        <w:ind w:left="142" w:right="-421" w:firstLine="284"/>
        <w:jc w:val="both"/>
      </w:pPr>
      <w:r w:rsidRPr="007064A0">
        <w:t>3. 5. Volumul anual de alocații pentru servicii ce reprezintă obiectul prezentului contract cu finanțare din bugetul de stat poate fi ajustat la implicațiile financiare legate de modificarea costurilor și indicatorilor cantitativi, în conformitate cu legislația în vigoare.</w:t>
      </w:r>
    </w:p>
    <w:p w:rsidR="00AC1F0F" w:rsidRPr="00E91463" w:rsidRDefault="00AC1F0F" w:rsidP="00254982">
      <w:pPr>
        <w:ind w:left="142" w:right="-421" w:firstLine="284"/>
        <w:jc w:val="both"/>
        <w:rPr>
          <w:iCs/>
        </w:rPr>
      </w:pPr>
    </w:p>
    <w:p w:rsidR="00AC1F0F" w:rsidRPr="0081505C" w:rsidRDefault="00867C41" w:rsidP="003D6094">
      <w:pPr>
        <w:ind w:right="-421"/>
        <w:jc w:val="both"/>
        <w:rPr>
          <w:b/>
          <w:bCs/>
          <w:iCs/>
        </w:rPr>
      </w:pPr>
      <w:r>
        <w:rPr>
          <w:b/>
          <w:bCs/>
          <w:iCs/>
        </w:rPr>
        <w:t xml:space="preserve">4. </w:t>
      </w:r>
      <w:r w:rsidR="00AF732A" w:rsidRPr="0081505C">
        <w:rPr>
          <w:b/>
          <w:bCs/>
          <w:iCs/>
        </w:rPr>
        <w:t xml:space="preserve">Obligaţiile </w:t>
      </w:r>
      <w:r w:rsidR="00AF732A">
        <w:rPr>
          <w:b/>
          <w:bCs/>
          <w:iCs/>
        </w:rPr>
        <w:t xml:space="preserve">și drepturile </w:t>
      </w:r>
      <w:r w:rsidR="00AF732A" w:rsidRPr="0081505C">
        <w:rPr>
          <w:b/>
          <w:bCs/>
          <w:iCs/>
        </w:rPr>
        <w:t>părţilor</w:t>
      </w:r>
    </w:p>
    <w:p w:rsidR="00AF732A" w:rsidRPr="007064A0" w:rsidRDefault="00AF732A" w:rsidP="00CA4AF1">
      <w:pPr>
        <w:ind w:right="-421" w:firstLine="426"/>
        <w:rPr>
          <w:b/>
        </w:rPr>
      </w:pPr>
      <w:r w:rsidRPr="007064A0">
        <w:rPr>
          <w:b/>
        </w:rPr>
        <w:t>4.1. Obligațiile Prestatorului sunt:</w:t>
      </w:r>
    </w:p>
    <w:p w:rsidR="00AF732A" w:rsidRPr="007064A0" w:rsidRDefault="00AF732A" w:rsidP="00CA4AF1">
      <w:pPr>
        <w:ind w:right="-421" w:firstLine="426"/>
        <w:jc w:val="both"/>
      </w:pPr>
      <w:r w:rsidRPr="007064A0">
        <w:t>4.1.1. Să asigure realizarea obiectivelor stipulate în Contract cu prudență și deligența unui bun profesionist, în conformitate cu prezentul contract, precum și a legislației în vigoare.</w:t>
      </w:r>
    </w:p>
    <w:p w:rsidR="00AF732A" w:rsidRPr="007064A0" w:rsidRDefault="00AF732A" w:rsidP="00CA4AF1">
      <w:pPr>
        <w:ind w:right="-421" w:firstLine="426"/>
        <w:jc w:val="both"/>
      </w:pPr>
      <w:r w:rsidRPr="007064A0">
        <w:t>4.1.2. Să utilizeze alocațiile primite în scopul și în condițiile în care au fost obținute.</w:t>
      </w:r>
    </w:p>
    <w:p w:rsidR="00AF732A" w:rsidRPr="007064A0" w:rsidRDefault="00AF732A" w:rsidP="00CA4AF1">
      <w:pPr>
        <w:ind w:right="-421" w:firstLine="426"/>
        <w:jc w:val="both"/>
      </w:pPr>
      <w:r w:rsidRPr="007064A0">
        <w:t>4.1.3. Este obligat să țină o evidență riguroasă și detaliată a finanțelor destinate Planului (Comenzii de Stat).</w:t>
      </w:r>
    </w:p>
    <w:p w:rsidR="00AF732A" w:rsidRPr="007064A0" w:rsidRDefault="00AF732A" w:rsidP="00CA4AF1">
      <w:pPr>
        <w:ind w:right="-421" w:firstLine="426"/>
        <w:jc w:val="both"/>
      </w:pPr>
      <w:r w:rsidRPr="007064A0">
        <w:t xml:space="preserve">4.1.4. Trimestrial, până la data de 5 a lunii ce urmează, Prestatorul se obligă să prezinte informații veridice privind numărul de elevi din cadrul instituției (Prestator) conform situației la momentul prezentării informației, structurată pe ani de studii. </w:t>
      </w:r>
    </w:p>
    <w:p w:rsidR="00AF732A" w:rsidRPr="007064A0" w:rsidRDefault="00AF732A" w:rsidP="00CA4AF1">
      <w:pPr>
        <w:ind w:right="-421" w:firstLine="426"/>
        <w:jc w:val="both"/>
      </w:pPr>
      <w:r w:rsidRPr="007064A0">
        <w:t xml:space="preserve">Concomitent, Prestatorul este obligat să informeze Fundatorul despre oricare circumstanțe care influențează formula de finanțare prevăzută în </w:t>
      </w:r>
      <w:r w:rsidRPr="007064A0">
        <w:rPr>
          <w:i/>
        </w:rPr>
        <w:t>Regulamentul privind finanţarea în bază de cost per elev a instituţiilor publice de învăţămînt profesional tehnic, aprobat prin Hotărârea Guvernului nr. 1077/ 2016;</w:t>
      </w:r>
      <w:r w:rsidRPr="007064A0">
        <w:t xml:space="preserve"> care influențează costul cheltuielilor pentru întreținerea căminelor, prevăzute în Hotărârea Guvernului nr. 99/2007 </w:t>
      </w:r>
      <w:r w:rsidRPr="007064A0">
        <w:rPr>
          <w:i/>
        </w:rPr>
        <w:t xml:space="preserve">cu privire la taxele de cazare în căminele instituţiilor de stat de învăţământ profesional tehnic secundar, profesional tehnic postsecundar, superior şi din domeniul ştiinţei şi inovării </w:t>
      </w:r>
      <w:r w:rsidRPr="007064A0">
        <w:t xml:space="preserve">și care influențează  cheltuielile pentru asigurarea alimentației elevilor, conform Hotărârii Guvernului nr. 266/2006 </w:t>
      </w:r>
      <w:r w:rsidRPr="007064A0">
        <w:rPr>
          <w:i/>
        </w:rPr>
        <w:t>cu privire la alimentarea gratuită a elevilor din sistemul de învăţământ profesional tehnic secundar</w:t>
      </w:r>
      <w:r w:rsidRPr="007064A0">
        <w:t>.</w:t>
      </w:r>
    </w:p>
    <w:p w:rsidR="00AF732A" w:rsidRPr="007064A0" w:rsidRDefault="00AF732A" w:rsidP="00CA4AF1">
      <w:pPr>
        <w:ind w:right="-421" w:firstLine="426"/>
        <w:jc w:val="both"/>
      </w:pPr>
      <w:r w:rsidRPr="007064A0">
        <w:t>4.1.5. Prestatorul se obligă să acorde Fondatorului, în termeni utili, suportul necesar pentru verificarea informației furnizate conform pct.3.4. din prezentul contract.</w:t>
      </w:r>
    </w:p>
    <w:p w:rsidR="00AF732A" w:rsidRPr="007064A0" w:rsidRDefault="00AF732A" w:rsidP="00CA4AF1">
      <w:pPr>
        <w:ind w:right="-421" w:firstLine="426"/>
        <w:jc w:val="both"/>
      </w:pPr>
      <w:r w:rsidRPr="007064A0">
        <w:t xml:space="preserve">4.1.6. Să asigure veridicitatea datelor incluse în dările de seamă prezentate </w:t>
      </w:r>
      <w:r w:rsidRPr="007064A0">
        <w:rPr>
          <w:b/>
        </w:rPr>
        <w:t>Fondatorului</w:t>
      </w:r>
      <w:r w:rsidRPr="007064A0">
        <w:t>.</w:t>
      </w:r>
    </w:p>
    <w:p w:rsidR="00AF732A" w:rsidRPr="007064A0" w:rsidRDefault="00AF732A" w:rsidP="00CA4AF1">
      <w:pPr>
        <w:ind w:right="-421" w:firstLine="426"/>
        <w:jc w:val="both"/>
      </w:pPr>
      <w:r w:rsidRPr="007064A0">
        <w:t xml:space="preserve">4.1.7. Să furnizeze </w:t>
      </w:r>
      <w:r w:rsidRPr="007064A0">
        <w:rPr>
          <w:b/>
        </w:rPr>
        <w:t>Fondatorului</w:t>
      </w:r>
      <w:r w:rsidRPr="007064A0">
        <w:t xml:space="preserve"> orice informație cu privire la derularea activităților stipulate în Contract, pe care acesta o poate solicita în modul și termenii stabiliți.</w:t>
      </w:r>
    </w:p>
    <w:p w:rsidR="00AF732A" w:rsidRPr="007064A0" w:rsidRDefault="00AF732A" w:rsidP="00CA4AF1">
      <w:pPr>
        <w:ind w:right="-421" w:firstLine="426"/>
        <w:jc w:val="both"/>
      </w:pPr>
      <w:r w:rsidRPr="007064A0">
        <w:t xml:space="preserve">4.1.8. Să informeze </w:t>
      </w:r>
      <w:r w:rsidRPr="007064A0">
        <w:rPr>
          <w:b/>
        </w:rPr>
        <w:t>Fondatorul</w:t>
      </w:r>
      <w:r w:rsidRPr="007064A0">
        <w:t xml:space="preserve">, în termen de 10 zile, despre orice circumstanță apărută pe parcursul realizării Contractului, care împiedică realizarea obiectivelor stipulate în Contract. </w:t>
      </w:r>
    </w:p>
    <w:p w:rsidR="00AF732A" w:rsidRPr="007064A0" w:rsidRDefault="00AF732A" w:rsidP="00CA4AF1">
      <w:pPr>
        <w:ind w:right="-421" w:firstLine="426"/>
        <w:jc w:val="both"/>
      </w:pPr>
      <w:r w:rsidRPr="007064A0">
        <w:t xml:space="preserve">4.1.9. Să prezinte </w:t>
      </w:r>
      <w:r w:rsidRPr="007064A0">
        <w:rPr>
          <w:b/>
        </w:rPr>
        <w:t xml:space="preserve">Fondatorului </w:t>
      </w:r>
      <w:r w:rsidRPr="007064A0">
        <w:t xml:space="preserve">trimestrial rapoarte specifice aprobate de Ministerul Finanțelor în modul și termenele stabilite.  </w:t>
      </w:r>
    </w:p>
    <w:p w:rsidR="00AF732A" w:rsidRPr="007064A0" w:rsidRDefault="00AF732A" w:rsidP="00CA4AF1">
      <w:pPr>
        <w:ind w:right="-421" w:firstLine="426"/>
        <w:jc w:val="both"/>
      </w:pPr>
      <w:r w:rsidRPr="007064A0">
        <w:t>4.1.10. Poartă răspundere pentru realizarea deplină și în termen a serviciilor prevăzute în Contract și pentru utilizarea conform destinației a resurselor financiare obținute.</w:t>
      </w:r>
    </w:p>
    <w:p w:rsidR="00AF732A" w:rsidRPr="007064A0" w:rsidRDefault="00AF732A" w:rsidP="00CA4AF1">
      <w:pPr>
        <w:ind w:right="-421" w:firstLine="426"/>
        <w:rPr>
          <w:b/>
        </w:rPr>
      </w:pPr>
      <w:r w:rsidRPr="007064A0">
        <w:rPr>
          <w:b/>
        </w:rPr>
        <w:t>4.2. Drepturile Prestatorului sunt:</w:t>
      </w:r>
    </w:p>
    <w:p w:rsidR="00AF732A" w:rsidRPr="007064A0" w:rsidRDefault="00AF732A" w:rsidP="003D6094">
      <w:pPr>
        <w:ind w:right="-421" w:firstLine="540"/>
        <w:jc w:val="both"/>
      </w:pPr>
      <w:r w:rsidRPr="007064A0">
        <w:lastRenderedPageBreak/>
        <w:t>4.2.1. Să beneficieze de mijloacele financiare în volumul deplin și în modul stabilit în Contract și actelor normative în vigoare.</w:t>
      </w:r>
    </w:p>
    <w:p w:rsidR="00AF732A" w:rsidRPr="007064A0" w:rsidRDefault="00AF732A" w:rsidP="003D6094">
      <w:pPr>
        <w:ind w:right="-421" w:firstLine="540"/>
        <w:jc w:val="both"/>
      </w:pPr>
      <w:r w:rsidRPr="007064A0">
        <w:t xml:space="preserve">4.2.2. Să solicite modificarea sau completarea contractului, inclusiv prin redistribuirea alocațiilor în limita mijloacelor financiare aprobate prevăzute în Contract. </w:t>
      </w:r>
    </w:p>
    <w:p w:rsidR="00AF732A" w:rsidRPr="007064A0" w:rsidRDefault="00AF732A" w:rsidP="003D6094">
      <w:pPr>
        <w:ind w:right="-421" w:firstLine="540"/>
        <w:jc w:val="both"/>
      </w:pPr>
      <w:r w:rsidRPr="007064A0">
        <w:t xml:space="preserve">4.2.3. Să utilizeze și gestioneze mijloacele financiare disponibile în scopul executării obiectul contractului, conform propriilor decizii în limitele permise de actele normative în vigoare. </w:t>
      </w:r>
    </w:p>
    <w:p w:rsidR="00AF732A" w:rsidRPr="007064A0" w:rsidRDefault="00AF732A" w:rsidP="003D6094">
      <w:pPr>
        <w:ind w:right="-421" w:firstLine="540"/>
        <w:jc w:val="both"/>
        <w:rPr>
          <w:b/>
        </w:rPr>
      </w:pPr>
      <w:r w:rsidRPr="007064A0">
        <w:t xml:space="preserve"> </w:t>
      </w:r>
      <w:r w:rsidRPr="007064A0">
        <w:rPr>
          <w:b/>
        </w:rPr>
        <w:t>4.3. Obligațiile Fondatorului sunt:</w:t>
      </w:r>
    </w:p>
    <w:p w:rsidR="00AF732A" w:rsidRPr="007064A0" w:rsidRDefault="00AF732A" w:rsidP="003D6094">
      <w:pPr>
        <w:ind w:right="-421" w:firstLine="540"/>
        <w:jc w:val="both"/>
      </w:pPr>
      <w:r w:rsidRPr="007064A0">
        <w:t>4.3.1. Să asigure finanțarea serviciilor educaționale conform Planului (Comenzii de Stat) de pregătire a cadrelor de specialitate cu finanțare din bugetul de stat.</w:t>
      </w:r>
    </w:p>
    <w:p w:rsidR="00AF732A" w:rsidRPr="007064A0" w:rsidRDefault="00AF732A" w:rsidP="003D6094">
      <w:pPr>
        <w:ind w:right="-421" w:firstLine="540"/>
        <w:rPr>
          <w:b/>
        </w:rPr>
      </w:pPr>
      <w:r w:rsidRPr="007064A0">
        <w:rPr>
          <w:b/>
        </w:rPr>
        <w:t>4.4. Drepturile Fondatorului sunt:</w:t>
      </w:r>
    </w:p>
    <w:p w:rsidR="00AF732A" w:rsidRPr="007064A0" w:rsidRDefault="00AF732A" w:rsidP="003D6094">
      <w:pPr>
        <w:ind w:right="-421" w:firstLine="540"/>
        <w:jc w:val="both"/>
      </w:pPr>
      <w:r w:rsidRPr="007064A0">
        <w:t>4.4.1. Să organizeze auditul extern și să verifice corespunderea cu clauzele Contractului a volumului, calității și costului serviciilor, precum și gestionarea mijloacelor financiare.</w:t>
      </w:r>
    </w:p>
    <w:p w:rsidR="00AF732A" w:rsidRPr="007064A0" w:rsidRDefault="00AF732A" w:rsidP="003D6094">
      <w:pPr>
        <w:ind w:right="-421" w:firstLine="540"/>
        <w:jc w:val="both"/>
      </w:pPr>
      <w:r w:rsidRPr="007064A0">
        <w:t xml:space="preserve">4.4.2. Să monitorizeze și să verifice îndeplinirea Planului (Comenzii de stat) de către </w:t>
      </w:r>
      <w:r w:rsidRPr="007064A0">
        <w:rPr>
          <w:b/>
        </w:rPr>
        <w:t>Prestator</w:t>
      </w:r>
      <w:r w:rsidRPr="007064A0">
        <w:t>.</w:t>
      </w:r>
    </w:p>
    <w:p w:rsidR="00AF732A" w:rsidRPr="007064A0" w:rsidRDefault="00AF732A" w:rsidP="003D6094">
      <w:pPr>
        <w:ind w:right="-421" w:firstLine="540"/>
        <w:jc w:val="both"/>
      </w:pPr>
      <w:r w:rsidRPr="007064A0">
        <w:t>4.4.3. Să modifice spre micșorare sau majorare volumul anual de alocații ce reprezintă obiectul prezentului contract cu finanțare din Bugetul de Stat, în dependență de modificarea Legii Bugetului de stat pentru anul 202</w:t>
      </w:r>
      <w:r>
        <w:t>2</w:t>
      </w:r>
      <w:r w:rsidRPr="007064A0">
        <w:t>, pe parcursul anului curent și conform necesităților reale de realizare a Comenzii de Stat, de acordare a burselor, de întreținere a căminelor și asigurării alimentației elevilor.</w:t>
      </w:r>
    </w:p>
    <w:p w:rsidR="00AF732A" w:rsidRPr="007064A0" w:rsidRDefault="00AF732A" w:rsidP="003D6094">
      <w:pPr>
        <w:ind w:right="-421" w:firstLine="567"/>
        <w:jc w:val="both"/>
      </w:pPr>
      <w:r w:rsidRPr="007064A0">
        <w:t>4.4.4. Fondatorul este în drept să reducă unilateral mărimea sumelor planificate conform prezentul contract, în limita volumului de alocații aprobat pentru realizarea Comenzii de Stat estimate conform formulei de calcul a finanțării serviciilor educaționale, a costului de întreținere a căminelor sau a costului de asigurare a alimentației, estimate în conformitate cu actele normative în vigoare, în baza informației actualizate furnizate de către Prestator și în baza informațiilor constatate de către Fondator în rezultatul auditului extern efectuat la Prestator sau în baza controalelor efectuate de către alte entități competente.</w:t>
      </w:r>
    </w:p>
    <w:p w:rsidR="00AF732A" w:rsidRPr="007064A0" w:rsidRDefault="00AF732A" w:rsidP="003D6094">
      <w:pPr>
        <w:ind w:right="-421" w:firstLine="567"/>
        <w:jc w:val="both"/>
      </w:pPr>
      <w:r w:rsidRPr="007064A0">
        <w:t>4.4.5. În cazul în care modificarea indicatorilor care au stat la baza formulei de calcul a finanțării serviciilor educaționale, a costului de întreținere a căminelor și a costului de asigurare a alimentației a fost constatată după efectuarea plăților, Fondatorul este în drept să rețină valoarea sumei folosite necorespunzător sau nejustificat de către Prestator din contul sumei planificate pentru luna/ lunile următoare, dacă Prestatorul nu a returnat suma alocată în surplus/ neîntemeiat.</w:t>
      </w:r>
    </w:p>
    <w:p w:rsidR="00AF732A" w:rsidRPr="007064A0" w:rsidRDefault="00AF732A" w:rsidP="003D6094">
      <w:pPr>
        <w:ind w:right="-421" w:firstLine="540"/>
        <w:jc w:val="both"/>
      </w:pPr>
      <w:r w:rsidRPr="007064A0">
        <w:t>4.4.6. Să întreprindă și alte măsuri în limitele actelor normative în vigoare.</w:t>
      </w:r>
    </w:p>
    <w:p w:rsidR="00AC1F0F" w:rsidRPr="00E91463" w:rsidRDefault="00AC1F0F" w:rsidP="003D6094">
      <w:pPr>
        <w:ind w:right="-421"/>
        <w:jc w:val="both"/>
        <w:rPr>
          <w:iCs/>
        </w:rPr>
      </w:pPr>
    </w:p>
    <w:p w:rsidR="00AC1F0F" w:rsidRPr="00B74898" w:rsidRDefault="00AF732A" w:rsidP="003D6094">
      <w:pPr>
        <w:ind w:right="-421"/>
        <w:jc w:val="both"/>
        <w:rPr>
          <w:b/>
          <w:bCs/>
          <w:iCs/>
        </w:rPr>
      </w:pPr>
      <w:r>
        <w:rPr>
          <w:b/>
          <w:bCs/>
          <w:iCs/>
        </w:rPr>
        <w:t>5</w:t>
      </w:r>
      <w:r w:rsidR="00867C41">
        <w:rPr>
          <w:b/>
          <w:bCs/>
          <w:iCs/>
        </w:rPr>
        <w:t xml:space="preserve">. </w:t>
      </w:r>
      <w:r w:rsidR="00AC1F0F" w:rsidRPr="003C3B2C">
        <w:rPr>
          <w:b/>
          <w:bCs/>
          <w:iCs/>
        </w:rPr>
        <w:t>Circumstanțe care justifică neexecutarea contractului</w:t>
      </w:r>
    </w:p>
    <w:p w:rsidR="00AC1F0F" w:rsidRPr="00E91463" w:rsidRDefault="00AF732A" w:rsidP="00C56ACE">
      <w:pPr>
        <w:ind w:right="-421" w:firstLine="567"/>
        <w:jc w:val="both"/>
        <w:rPr>
          <w:iCs/>
        </w:rPr>
      </w:pPr>
      <w:r>
        <w:rPr>
          <w:iCs/>
        </w:rPr>
        <w:t>5</w:t>
      </w:r>
      <w:r w:rsidR="00867C41">
        <w:rPr>
          <w:iCs/>
        </w:rPr>
        <w:t xml:space="preserve">.1. </w:t>
      </w:r>
      <w:r w:rsidR="00AC1F0F" w:rsidRPr="00E91463">
        <w:rPr>
          <w:iCs/>
        </w:rPr>
        <w:t>Părţile s</w:t>
      </w:r>
      <w:r w:rsidR="00AC1F0F">
        <w:rPr>
          <w:iCs/>
        </w:rPr>
        <w:t>u</w:t>
      </w:r>
      <w:r w:rsidR="00AC1F0F" w:rsidRPr="00E91463">
        <w:rPr>
          <w:iCs/>
        </w:rPr>
        <w:t xml:space="preserve">nt exonerate de răspundere pentru neîndeplinirea parţială sau integrală a obligaţiilor conform prezentului Contract, dacă aceasta este cauzată de producerea unor cazuri de </w:t>
      </w:r>
      <w:r w:rsidR="00AC1F0F">
        <w:rPr>
          <w:iCs/>
        </w:rPr>
        <w:t>c</w:t>
      </w:r>
      <w:r w:rsidR="00AC1F0F" w:rsidRPr="003C3B2C">
        <w:rPr>
          <w:iCs/>
        </w:rPr>
        <w:t>ircumstanțe care justifică neexecutarea contractului</w:t>
      </w:r>
      <w:r w:rsidR="00AC1F0F" w:rsidRPr="003C3B2C" w:rsidDel="003C3B2C">
        <w:rPr>
          <w:iCs/>
        </w:rPr>
        <w:t xml:space="preserve"> </w:t>
      </w:r>
      <w:r w:rsidR="00AC1F0F" w:rsidRPr="00E91463">
        <w:rPr>
          <w:iCs/>
        </w:rPr>
        <w:t>(războaie, calamităţi naturale: incendii, inundaţii, cutremure de pămînt, precum şi alte circumstanţe care nu depind de voinţa Părţilor).</w:t>
      </w:r>
    </w:p>
    <w:p w:rsidR="00AC1F0F" w:rsidRPr="00E91463" w:rsidRDefault="00AF732A" w:rsidP="00C56ACE">
      <w:pPr>
        <w:ind w:right="-421" w:firstLine="567"/>
        <w:jc w:val="both"/>
        <w:rPr>
          <w:iCs/>
        </w:rPr>
      </w:pPr>
      <w:r>
        <w:rPr>
          <w:iCs/>
        </w:rPr>
        <w:t>5</w:t>
      </w:r>
      <w:r w:rsidR="007436AE">
        <w:rPr>
          <w:iCs/>
        </w:rPr>
        <w:t xml:space="preserve">.2. </w:t>
      </w:r>
      <w:r w:rsidR="00AC1F0F" w:rsidRPr="00E91463">
        <w:rPr>
          <w:iCs/>
        </w:rPr>
        <w:t xml:space="preserve">Partea care invocă clauza </w:t>
      </w:r>
      <w:r w:rsidR="00AC1F0F">
        <w:rPr>
          <w:iCs/>
        </w:rPr>
        <w:t>c</w:t>
      </w:r>
      <w:r w:rsidR="00AC1F0F" w:rsidRPr="003C3B2C">
        <w:rPr>
          <w:iCs/>
        </w:rPr>
        <w:t>ircumstanțe</w:t>
      </w:r>
      <w:r w:rsidR="00AC1F0F">
        <w:rPr>
          <w:iCs/>
        </w:rPr>
        <w:t>lor</w:t>
      </w:r>
      <w:r w:rsidR="00AC1F0F" w:rsidRPr="003C3B2C">
        <w:rPr>
          <w:iCs/>
        </w:rPr>
        <w:t xml:space="preserve"> care justifică neexecutarea contractului</w:t>
      </w:r>
      <w:r w:rsidR="00AC1F0F" w:rsidRPr="003C3B2C" w:rsidDel="003C3B2C">
        <w:rPr>
          <w:iCs/>
        </w:rPr>
        <w:t xml:space="preserve"> </w:t>
      </w:r>
      <w:r w:rsidR="00AC1F0F" w:rsidRPr="00E91463">
        <w:rPr>
          <w:iCs/>
        </w:rPr>
        <w:t xml:space="preserve">este obligată să informeze imediat (dar nu mai tîrziu de 10 zile) cealaltă Parte despre survenirea circumstanţelor </w:t>
      </w:r>
      <w:r w:rsidR="00AC1F0F" w:rsidRPr="003C3B2C">
        <w:rPr>
          <w:iCs/>
        </w:rPr>
        <w:t>care justifică neexecutarea contractului</w:t>
      </w:r>
      <w:r w:rsidR="00AC1F0F" w:rsidRPr="00E91463">
        <w:rPr>
          <w:iCs/>
        </w:rPr>
        <w:t>.</w:t>
      </w:r>
    </w:p>
    <w:p w:rsidR="00AC1F0F" w:rsidRDefault="00AF732A" w:rsidP="00C56ACE">
      <w:pPr>
        <w:ind w:right="-421" w:firstLine="567"/>
        <w:jc w:val="both"/>
        <w:rPr>
          <w:iCs/>
        </w:rPr>
      </w:pPr>
      <w:r>
        <w:rPr>
          <w:iCs/>
        </w:rPr>
        <w:t>5</w:t>
      </w:r>
      <w:r w:rsidR="007436AE">
        <w:rPr>
          <w:iCs/>
        </w:rPr>
        <w:t xml:space="preserve">.3. </w:t>
      </w:r>
      <w:r w:rsidR="00AC1F0F" w:rsidRPr="00E91463">
        <w:rPr>
          <w:iCs/>
        </w:rPr>
        <w:t xml:space="preserve">Survenirea circumstanţelor </w:t>
      </w:r>
      <w:r w:rsidR="00AC1F0F" w:rsidRPr="003C3B2C">
        <w:rPr>
          <w:iCs/>
        </w:rPr>
        <w:t>care justifică neexecutarea contractului</w:t>
      </w:r>
      <w:r w:rsidR="00AC1F0F" w:rsidRPr="00E91463">
        <w:rPr>
          <w:iCs/>
        </w:rPr>
        <w:t xml:space="preserve">, momentul declanşării şi termenul de acţiune trebuie să fie confirmate printr-un </w:t>
      </w:r>
      <w:r w:rsidR="00AC1F0F" w:rsidRPr="0016683B">
        <w:rPr>
          <w:iCs/>
        </w:rPr>
        <w:t>aviz de atestare</w:t>
      </w:r>
      <w:r w:rsidR="00AC1F0F" w:rsidRPr="00E91463">
        <w:rPr>
          <w:iCs/>
        </w:rPr>
        <w:t>, eliberat în mod corespunzător de către organul competent din ţara Părţii care invocă asemenea circumstanţe.</w:t>
      </w:r>
    </w:p>
    <w:p w:rsidR="00AC1F0F" w:rsidRPr="00F92DE2" w:rsidRDefault="00AF732A" w:rsidP="00C56ACE">
      <w:pPr>
        <w:ind w:right="-421" w:firstLine="567"/>
        <w:jc w:val="both"/>
        <w:rPr>
          <w:iCs/>
        </w:rPr>
      </w:pPr>
      <w:r>
        <w:rPr>
          <w:iCs/>
        </w:rPr>
        <w:t>5</w:t>
      </w:r>
      <w:r w:rsidR="007436AE">
        <w:rPr>
          <w:iCs/>
        </w:rPr>
        <w:t>.4.</w:t>
      </w:r>
      <w:r w:rsidR="00AC1F0F">
        <w:rPr>
          <w:iCs/>
        </w:rPr>
        <w:t xml:space="preserve"> În cazul în care în  </w:t>
      </w:r>
      <w:r w:rsidR="00AC1F0F" w:rsidRPr="00F92DE2">
        <w:rPr>
          <w:iCs/>
        </w:rPr>
        <w:t>circumstanțe</w:t>
      </w:r>
      <w:r w:rsidR="00AC1F0F">
        <w:rPr>
          <w:iCs/>
        </w:rPr>
        <w:t>le</w:t>
      </w:r>
      <w:r w:rsidR="00AC1F0F" w:rsidRPr="00F92DE2">
        <w:rPr>
          <w:iCs/>
        </w:rPr>
        <w:t xml:space="preserve"> care justifică neexecutarea contractului</w:t>
      </w:r>
      <w:r w:rsidR="00AC1F0F">
        <w:rPr>
          <w:iCs/>
        </w:rPr>
        <w:t xml:space="preserve">, acesta se modifică prin acordul adițional, inclusiv modificarea termenilor de executare, în cazul unei executări ulterioare a contractului. </w:t>
      </w:r>
      <w:r w:rsidR="00AC1F0F">
        <w:rPr>
          <w:iCs/>
          <w:lang w:val="ro-MD"/>
        </w:rPr>
        <w:t>Când se execută  pct.</w:t>
      </w:r>
      <w:r>
        <w:rPr>
          <w:iCs/>
          <w:lang w:val="ro-MD"/>
        </w:rPr>
        <w:t>5</w:t>
      </w:r>
      <w:r w:rsidR="00AC1F0F">
        <w:rPr>
          <w:iCs/>
          <w:lang w:val="ro-MD"/>
        </w:rPr>
        <w:t xml:space="preserve">.1 și pct. </w:t>
      </w:r>
      <w:r>
        <w:rPr>
          <w:iCs/>
          <w:lang w:val="ro-MD"/>
        </w:rPr>
        <w:t>5</w:t>
      </w:r>
      <w:r w:rsidR="00AC1F0F">
        <w:rPr>
          <w:iCs/>
          <w:lang w:val="ro-MD"/>
        </w:rPr>
        <w:t>.3, părțile modifică contractul prin acord - adițional, privind neîndeplinerea parțială sau integrală a obligațiunilor, inclusiv modificarea termenilor în cazul suspendării și executării ulterioare a contractului.</w:t>
      </w:r>
    </w:p>
    <w:p w:rsidR="00AC1F0F" w:rsidRPr="00E91463" w:rsidRDefault="00AC1F0F" w:rsidP="00C56ACE">
      <w:pPr>
        <w:ind w:right="-421" w:firstLine="567"/>
        <w:jc w:val="both"/>
        <w:rPr>
          <w:iCs/>
        </w:rPr>
      </w:pPr>
    </w:p>
    <w:p w:rsidR="00AC1F0F" w:rsidRPr="00B74898" w:rsidRDefault="00AF732A" w:rsidP="003D6094">
      <w:pPr>
        <w:ind w:right="-421"/>
        <w:jc w:val="both"/>
        <w:rPr>
          <w:b/>
          <w:bCs/>
          <w:iCs/>
        </w:rPr>
      </w:pPr>
      <w:r>
        <w:rPr>
          <w:b/>
          <w:bCs/>
          <w:iCs/>
        </w:rPr>
        <w:lastRenderedPageBreak/>
        <w:t>6</w:t>
      </w:r>
      <w:r w:rsidR="007436AE">
        <w:rPr>
          <w:b/>
          <w:bCs/>
          <w:iCs/>
        </w:rPr>
        <w:t xml:space="preserve">. </w:t>
      </w:r>
      <w:r w:rsidR="00AC1F0F">
        <w:rPr>
          <w:b/>
          <w:bCs/>
          <w:iCs/>
        </w:rPr>
        <w:t>Rezoluțiunea</w:t>
      </w:r>
    </w:p>
    <w:p w:rsidR="00AC1F0F" w:rsidRPr="00E91463" w:rsidRDefault="00AF732A" w:rsidP="00323FD1">
      <w:pPr>
        <w:ind w:right="-421" w:firstLine="426"/>
        <w:jc w:val="both"/>
        <w:rPr>
          <w:iCs/>
        </w:rPr>
      </w:pPr>
      <w:r>
        <w:rPr>
          <w:iCs/>
        </w:rPr>
        <w:t>6</w:t>
      </w:r>
      <w:r w:rsidR="007436AE">
        <w:rPr>
          <w:iCs/>
        </w:rPr>
        <w:t xml:space="preserve">.1. </w:t>
      </w:r>
      <w:r w:rsidR="00AC1F0F" w:rsidRPr="00E91463">
        <w:rPr>
          <w:iCs/>
        </w:rPr>
        <w:t>Rez</w:t>
      </w:r>
      <w:r w:rsidR="00AC1F0F">
        <w:rPr>
          <w:iCs/>
        </w:rPr>
        <w:t>oluțiunea</w:t>
      </w:r>
      <w:r w:rsidR="00AC1F0F" w:rsidRPr="00E91463">
        <w:rPr>
          <w:iCs/>
        </w:rPr>
        <w:t xml:space="preserve"> Contractului se poate realiza cu acordul comun al Părţilor.</w:t>
      </w:r>
    </w:p>
    <w:p w:rsidR="00AC1F0F" w:rsidRPr="00E91463" w:rsidRDefault="00AF732A" w:rsidP="00323FD1">
      <w:pPr>
        <w:ind w:right="-421" w:firstLine="426"/>
        <w:jc w:val="both"/>
        <w:rPr>
          <w:iCs/>
        </w:rPr>
      </w:pPr>
      <w:r>
        <w:rPr>
          <w:iCs/>
        </w:rPr>
        <w:t>6</w:t>
      </w:r>
      <w:r w:rsidR="007436AE">
        <w:rPr>
          <w:iCs/>
        </w:rPr>
        <w:t xml:space="preserve">.2. </w:t>
      </w:r>
      <w:r w:rsidR="00AC1F0F" w:rsidRPr="00E91463">
        <w:rPr>
          <w:iCs/>
        </w:rPr>
        <w:t>Contractul poate fi rez</w:t>
      </w:r>
      <w:r w:rsidR="00AC1F0F">
        <w:rPr>
          <w:iCs/>
        </w:rPr>
        <w:t>olvit</w:t>
      </w:r>
      <w:r w:rsidR="00AC1F0F" w:rsidRPr="00E91463">
        <w:rPr>
          <w:iCs/>
        </w:rPr>
        <w:t xml:space="preserve"> în mod unilateral de către:</w:t>
      </w:r>
    </w:p>
    <w:p w:rsidR="00AC1F0F" w:rsidRPr="00E91463" w:rsidRDefault="00323FD1" w:rsidP="00323FD1">
      <w:pPr>
        <w:ind w:right="-421" w:firstLine="426"/>
        <w:jc w:val="both"/>
        <w:rPr>
          <w:iCs/>
        </w:rPr>
      </w:pPr>
      <w:r>
        <w:rPr>
          <w:iCs/>
        </w:rPr>
        <w:t xml:space="preserve">a) </w:t>
      </w:r>
      <w:r w:rsidR="00AC1F0F" w:rsidRPr="00E91463">
        <w:rPr>
          <w:iCs/>
        </w:rPr>
        <w:t>Cumpărător</w:t>
      </w:r>
      <w:r w:rsidR="00AC1F0F">
        <w:rPr>
          <w:iCs/>
        </w:rPr>
        <w:t>/Beneficiar</w:t>
      </w:r>
      <w:r w:rsidR="00AC1F0F" w:rsidRPr="00E91463">
        <w:rPr>
          <w:iCs/>
        </w:rPr>
        <w:t xml:space="preserve"> în caz de refuz al </w:t>
      </w:r>
      <w:r w:rsidR="00AC1F0F">
        <w:rPr>
          <w:iCs/>
        </w:rPr>
        <w:t>Furnizorului/Prestatorului</w:t>
      </w:r>
      <w:r w:rsidR="00AC1F0F" w:rsidRPr="00E91463">
        <w:rPr>
          <w:iCs/>
        </w:rPr>
        <w:t xml:space="preserve"> de a livra</w:t>
      </w:r>
      <w:r w:rsidR="00AC1F0F">
        <w:rPr>
          <w:iCs/>
        </w:rPr>
        <w:t>/presta</w:t>
      </w:r>
      <w:r w:rsidR="00AC1F0F" w:rsidRPr="00E91463">
        <w:rPr>
          <w:iCs/>
        </w:rPr>
        <w:t xml:space="preserve"> Bunurile</w:t>
      </w:r>
      <w:r w:rsidR="00AC1F0F">
        <w:rPr>
          <w:iCs/>
        </w:rPr>
        <w:t>/Serviciile</w:t>
      </w:r>
      <w:r w:rsidR="00AC1F0F" w:rsidRPr="00E91463">
        <w:rPr>
          <w:iCs/>
        </w:rPr>
        <w:t xml:space="preserve"> prevăzute în prezentul Contract;         </w:t>
      </w:r>
    </w:p>
    <w:p w:rsidR="00AC1F0F" w:rsidRPr="00E91463" w:rsidRDefault="005732D5" w:rsidP="00323FD1">
      <w:pPr>
        <w:ind w:right="-421" w:firstLine="426"/>
        <w:jc w:val="both"/>
        <w:rPr>
          <w:iCs/>
        </w:rPr>
      </w:pPr>
      <w:r>
        <w:rPr>
          <w:iCs/>
        </w:rPr>
        <w:t xml:space="preserve">b) </w:t>
      </w:r>
      <w:r w:rsidR="00AC1F0F" w:rsidRPr="00E91463">
        <w:rPr>
          <w:iCs/>
        </w:rPr>
        <w:t>Cumpărător</w:t>
      </w:r>
      <w:r w:rsidR="00AC1F0F">
        <w:rPr>
          <w:iCs/>
        </w:rPr>
        <w:t>/</w:t>
      </w:r>
      <w:r w:rsidR="00AC1F0F" w:rsidRPr="00B74898">
        <w:rPr>
          <w:iCs/>
        </w:rPr>
        <w:t>Beneficiar</w:t>
      </w:r>
      <w:r w:rsidR="00AC1F0F" w:rsidRPr="00E91463">
        <w:rPr>
          <w:iCs/>
        </w:rPr>
        <w:t xml:space="preserve"> în caz de nerespectare de către </w:t>
      </w:r>
      <w:r w:rsidR="00AC1F0F">
        <w:rPr>
          <w:iCs/>
        </w:rPr>
        <w:t>Furnizor/Prestator</w:t>
      </w:r>
      <w:r w:rsidR="00AC1F0F" w:rsidRPr="00E91463">
        <w:rPr>
          <w:iCs/>
        </w:rPr>
        <w:t xml:space="preserve"> a termenelor de livrare</w:t>
      </w:r>
      <w:r w:rsidR="00AC1F0F">
        <w:rPr>
          <w:iCs/>
        </w:rPr>
        <w:t>/prestare</w:t>
      </w:r>
      <w:r w:rsidR="00AC1F0F" w:rsidRPr="00E91463">
        <w:rPr>
          <w:iCs/>
        </w:rPr>
        <w:t xml:space="preserve"> stabilite;</w:t>
      </w:r>
    </w:p>
    <w:p w:rsidR="00AC1F0F" w:rsidRPr="00E91463" w:rsidRDefault="005732D5" w:rsidP="00323FD1">
      <w:pPr>
        <w:ind w:right="-421" w:firstLine="426"/>
        <w:jc w:val="both"/>
        <w:rPr>
          <w:iCs/>
        </w:rPr>
      </w:pPr>
      <w:r>
        <w:rPr>
          <w:iCs/>
        </w:rPr>
        <w:t xml:space="preserve">c) </w:t>
      </w:r>
      <w:r w:rsidR="00AC1F0F">
        <w:rPr>
          <w:iCs/>
        </w:rPr>
        <w:t>Furnizor/Prestator</w:t>
      </w:r>
      <w:r w:rsidR="00AC1F0F" w:rsidRPr="00E91463">
        <w:rPr>
          <w:iCs/>
        </w:rPr>
        <w:t xml:space="preserve"> în caz de nerespectare de către Cumpărător</w:t>
      </w:r>
      <w:r w:rsidR="00AC1F0F">
        <w:rPr>
          <w:iCs/>
        </w:rPr>
        <w:t>/Beneficiar</w:t>
      </w:r>
      <w:r w:rsidR="00AC1F0F" w:rsidRPr="00E91463">
        <w:rPr>
          <w:iCs/>
        </w:rPr>
        <w:t xml:space="preserve"> a termenelor de plată a Bunurilor</w:t>
      </w:r>
      <w:r w:rsidR="00AC1F0F">
        <w:rPr>
          <w:iCs/>
        </w:rPr>
        <w:t>/Serviciilor</w:t>
      </w:r>
      <w:r w:rsidR="00AC1F0F" w:rsidRPr="00E91463">
        <w:rPr>
          <w:iCs/>
        </w:rPr>
        <w:t>;</w:t>
      </w:r>
    </w:p>
    <w:p w:rsidR="00AC1F0F" w:rsidRDefault="007436AE" w:rsidP="00323FD1">
      <w:pPr>
        <w:ind w:right="-421" w:firstLine="426"/>
        <w:jc w:val="both"/>
        <w:rPr>
          <w:iCs/>
        </w:rPr>
      </w:pPr>
      <w:r>
        <w:rPr>
          <w:iCs/>
        </w:rPr>
        <w:t xml:space="preserve">d) </w:t>
      </w:r>
      <w:r w:rsidR="00AC1F0F">
        <w:rPr>
          <w:iCs/>
        </w:rPr>
        <w:t>Furnizor/Prestator</w:t>
      </w:r>
      <w:r w:rsidR="00AC1F0F" w:rsidRPr="00E91463">
        <w:rPr>
          <w:iCs/>
        </w:rPr>
        <w:t xml:space="preserve"> sau Cumpărător</w:t>
      </w:r>
      <w:r w:rsidR="00AC1F0F">
        <w:rPr>
          <w:iCs/>
        </w:rPr>
        <w:t>/Beneficiar</w:t>
      </w:r>
      <w:r w:rsidR="00AC1F0F" w:rsidRPr="00E91463">
        <w:rPr>
          <w:iCs/>
        </w:rPr>
        <w:t xml:space="preserve"> în caz de nesatisfacere de către una dintre Părţi a pretenţiilor înaintate conform prezentului Contract.</w:t>
      </w:r>
    </w:p>
    <w:p w:rsidR="00AC1F0F" w:rsidRPr="00E91463" w:rsidRDefault="00AF732A" w:rsidP="00323FD1">
      <w:pPr>
        <w:ind w:right="-421" w:firstLine="426"/>
        <w:jc w:val="both"/>
        <w:rPr>
          <w:iCs/>
        </w:rPr>
      </w:pPr>
      <w:r>
        <w:rPr>
          <w:iCs/>
        </w:rPr>
        <w:t>6</w:t>
      </w:r>
      <w:r w:rsidR="00AC1F0F" w:rsidRPr="00E91463">
        <w:rPr>
          <w:iCs/>
        </w:rPr>
        <w:t>.</w:t>
      </w:r>
      <w:r w:rsidR="008C36BB">
        <w:rPr>
          <w:iCs/>
        </w:rPr>
        <w:t>3</w:t>
      </w:r>
      <w:r w:rsidR="007436AE">
        <w:rPr>
          <w:iCs/>
        </w:rPr>
        <w:t xml:space="preserve">. </w:t>
      </w:r>
      <w:r w:rsidR="00AC1F0F" w:rsidRPr="00E91463">
        <w:rPr>
          <w:iCs/>
        </w:rPr>
        <w:t>Partea iniţiatoare a rez</w:t>
      </w:r>
      <w:r w:rsidR="00AC1F0F">
        <w:rPr>
          <w:iCs/>
        </w:rPr>
        <w:t>oluțiunii</w:t>
      </w:r>
      <w:r w:rsidR="00AC1F0F" w:rsidRPr="00E91463">
        <w:rPr>
          <w:iCs/>
        </w:rPr>
        <w:t xml:space="preserve"> Contractului este oblig</w:t>
      </w:r>
      <w:r w:rsidR="008C36BB">
        <w:rPr>
          <w:iCs/>
        </w:rPr>
        <w:t>ată să comunice în termen de 5</w:t>
      </w:r>
      <w:r w:rsidR="00AC1F0F" w:rsidRPr="00E91463">
        <w:rPr>
          <w:iCs/>
        </w:rPr>
        <w:t xml:space="preserve"> zile lucrătoare celeilalte Părţi despre intenţiile ei printr-o scrisoare motivată.</w:t>
      </w:r>
    </w:p>
    <w:p w:rsidR="00AC1F0F" w:rsidRDefault="00AF732A" w:rsidP="00323FD1">
      <w:pPr>
        <w:ind w:right="-421" w:firstLine="426"/>
        <w:jc w:val="both"/>
        <w:rPr>
          <w:iCs/>
        </w:rPr>
      </w:pPr>
      <w:r>
        <w:rPr>
          <w:iCs/>
        </w:rPr>
        <w:t>6</w:t>
      </w:r>
      <w:r w:rsidR="00AC1F0F" w:rsidRPr="00E91463">
        <w:rPr>
          <w:iCs/>
        </w:rPr>
        <w:t>.</w:t>
      </w:r>
      <w:r w:rsidR="008C36BB">
        <w:rPr>
          <w:iCs/>
        </w:rPr>
        <w:t>4</w:t>
      </w:r>
      <w:r w:rsidR="007436AE">
        <w:rPr>
          <w:iCs/>
        </w:rPr>
        <w:t xml:space="preserve">. </w:t>
      </w:r>
      <w:r w:rsidR="00AC1F0F" w:rsidRPr="00E91463">
        <w:rPr>
          <w:iCs/>
        </w:rPr>
        <w:t>Partea înştiinţată este oblig</w:t>
      </w:r>
      <w:r w:rsidR="008C36BB">
        <w:rPr>
          <w:iCs/>
        </w:rPr>
        <w:t>ată să răspundă în decurs de 5</w:t>
      </w:r>
      <w:r w:rsidR="00AC1F0F" w:rsidRPr="00E91463">
        <w:rPr>
          <w:iCs/>
        </w:rPr>
        <w:t xml:space="preserve"> zile lucrătoare de la primirea notificării. În cazul în care litigiul nu este soluţionat în termenele stabilite, partea iniţiatoare va iniția rez</w:t>
      </w:r>
      <w:r w:rsidR="00AC1F0F">
        <w:rPr>
          <w:iCs/>
        </w:rPr>
        <w:t>oluțiunea</w:t>
      </w:r>
      <w:r w:rsidR="00AC1F0F" w:rsidRPr="00E91463">
        <w:rPr>
          <w:iCs/>
        </w:rPr>
        <w:t>.</w:t>
      </w:r>
    </w:p>
    <w:p w:rsidR="00AC1F0F" w:rsidRPr="00E91463" w:rsidRDefault="00AC1F0F" w:rsidP="003D6094">
      <w:pPr>
        <w:ind w:right="-421"/>
        <w:jc w:val="both"/>
        <w:rPr>
          <w:iCs/>
        </w:rPr>
      </w:pPr>
    </w:p>
    <w:p w:rsidR="00AC1F0F" w:rsidRPr="008D7109" w:rsidRDefault="008C36BB" w:rsidP="003D6094">
      <w:pPr>
        <w:ind w:right="-421"/>
        <w:jc w:val="both"/>
        <w:rPr>
          <w:b/>
          <w:bCs/>
          <w:iCs/>
        </w:rPr>
      </w:pPr>
      <w:r>
        <w:rPr>
          <w:b/>
          <w:bCs/>
          <w:iCs/>
        </w:rPr>
        <w:t>7</w:t>
      </w:r>
      <w:r w:rsidR="00116F2D">
        <w:rPr>
          <w:b/>
          <w:bCs/>
          <w:iCs/>
        </w:rPr>
        <w:t xml:space="preserve">. </w:t>
      </w:r>
      <w:r w:rsidR="00AC1F0F" w:rsidRPr="008D7109">
        <w:rPr>
          <w:b/>
          <w:bCs/>
          <w:iCs/>
        </w:rPr>
        <w:t>Dispoziţii finale</w:t>
      </w:r>
    </w:p>
    <w:p w:rsidR="00AC1F0F" w:rsidRPr="00E91463" w:rsidRDefault="008C36BB" w:rsidP="00323FD1">
      <w:pPr>
        <w:ind w:right="-421" w:firstLine="426"/>
        <w:jc w:val="both"/>
        <w:rPr>
          <w:iCs/>
        </w:rPr>
      </w:pPr>
      <w:r>
        <w:rPr>
          <w:iCs/>
        </w:rPr>
        <w:t>7</w:t>
      </w:r>
      <w:r w:rsidR="00116F2D">
        <w:rPr>
          <w:iCs/>
        </w:rPr>
        <w:t xml:space="preserve">.1. </w:t>
      </w:r>
      <w:r w:rsidR="00AC1F0F" w:rsidRPr="00E91463">
        <w:rPr>
          <w:iCs/>
        </w:rPr>
        <w:t>Litigiile ce ar putea rezulta din prezentul Contract vor fi soluţionate de către Părţi pe cale amiabilă. În caz contrar, ele vor fi transmise spre examinare în instanţa de judecată competentă conform legislaţiei Republicii Moldova.</w:t>
      </w:r>
    </w:p>
    <w:p w:rsidR="00AC1F0F" w:rsidRPr="00E91463" w:rsidRDefault="008C36BB" w:rsidP="00323FD1">
      <w:pPr>
        <w:ind w:right="-421" w:firstLine="426"/>
        <w:jc w:val="both"/>
        <w:rPr>
          <w:iCs/>
        </w:rPr>
      </w:pPr>
      <w:r>
        <w:rPr>
          <w:iCs/>
        </w:rPr>
        <w:t>7</w:t>
      </w:r>
      <w:r w:rsidR="00AC1F0F" w:rsidRPr="00E91463">
        <w:rPr>
          <w:iCs/>
        </w:rPr>
        <w:t>.</w:t>
      </w:r>
      <w:r w:rsidR="00AC1F0F">
        <w:rPr>
          <w:iCs/>
        </w:rPr>
        <w:t>2</w:t>
      </w:r>
      <w:r w:rsidR="00116F2D">
        <w:rPr>
          <w:iCs/>
        </w:rPr>
        <w:t xml:space="preserve">. </w:t>
      </w:r>
      <w:r w:rsidR="00AC1F0F" w:rsidRPr="00E91463">
        <w:rPr>
          <w:iCs/>
        </w:rPr>
        <w:t xml:space="preserve">Părţile contractante au dreptul, pe durata îndeplinirii contractului, să convină asupra modificării clauzelor contractului, prin </w:t>
      </w:r>
      <w:r w:rsidR="00AC1F0F">
        <w:rPr>
          <w:iCs/>
        </w:rPr>
        <w:t>acord</w:t>
      </w:r>
      <w:r w:rsidR="00AC1F0F" w:rsidRPr="00E91463">
        <w:rPr>
          <w:iCs/>
        </w:rPr>
        <w:t xml:space="preserve">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rsidR="00AC1F0F" w:rsidRPr="00E91463" w:rsidRDefault="008C36BB" w:rsidP="00323FD1">
      <w:pPr>
        <w:ind w:right="-421" w:firstLine="426"/>
        <w:jc w:val="both"/>
        <w:rPr>
          <w:iCs/>
        </w:rPr>
      </w:pPr>
      <w:r>
        <w:rPr>
          <w:iCs/>
        </w:rPr>
        <w:t>7</w:t>
      </w:r>
      <w:r w:rsidR="00AC1F0F" w:rsidRPr="00E91463">
        <w:rPr>
          <w:iCs/>
        </w:rPr>
        <w:t>.</w:t>
      </w:r>
      <w:r w:rsidR="00AC1F0F">
        <w:rPr>
          <w:iCs/>
        </w:rPr>
        <w:t>3</w:t>
      </w:r>
      <w:r w:rsidR="00116F2D">
        <w:rPr>
          <w:iCs/>
        </w:rPr>
        <w:t xml:space="preserve">. </w:t>
      </w:r>
      <w:r w:rsidR="00AC1F0F" w:rsidRPr="00E91463">
        <w:rPr>
          <w:iCs/>
        </w:rPr>
        <w:t>Nici una dintre Părţi nu are dreptul să transmită obligaţiile şi drepturile sale stipulate în prezentul Contract unor terţe persoane fără acordul în scris al celeilalte părţi.</w:t>
      </w:r>
    </w:p>
    <w:p w:rsidR="00AC1F0F" w:rsidRPr="00E91463" w:rsidRDefault="008C36BB" w:rsidP="00323FD1">
      <w:pPr>
        <w:ind w:right="-421" w:firstLine="426"/>
        <w:jc w:val="both"/>
        <w:rPr>
          <w:iCs/>
        </w:rPr>
      </w:pPr>
      <w:r>
        <w:rPr>
          <w:iCs/>
        </w:rPr>
        <w:t>7</w:t>
      </w:r>
      <w:r w:rsidR="00AC1F0F" w:rsidRPr="00E91463">
        <w:rPr>
          <w:iCs/>
        </w:rPr>
        <w:t>.</w:t>
      </w:r>
      <w:r>
        <w:rPr>
          <w:iCs/>
        </w:rPr>
        <w:t>4</w:t>
      </w:r>
      <w:r w:rsidR="00116F2D">
        <w:rPr>
          <w:iCs/>
        </w:rPr>
        <w:t xml:space="preserve">. </w:t>
      </w:r>
      <w:r w:rsidR="00AC1F0F" w:rsidRPr="00E91463">
        <w:rPr>
          <w:iCs/>
        </w:rPr>
        <w:t xml:space="preserve">Prezentul Contract se consideră încheiat la data semnării şi intră în vigoare la data înregistrării  </w:t>
      </w:r>
      <w:r w:rsidR="00AC1F0F" w:rsidRPr="00464A07">
        <w:rPr>
          <w:iCs/>
        </w:rPr>
        <w:t>la una din trezoreriile regionale ale Ministerului Finanțelor</w:t>
      </w:r>
      <w:r w:rsidR="00AC1F0F" w:rsidRPr="00E91463">
        <w:rPr>
          <w:iCs/>
        </w:rPr>
        <w:t>,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rsidR="00AC1F0F" w:rsidRPr="00E91463" w:rsidRDefault="008C36BB" w:rsidP="00323FD1">
      <w:pPr>
        <w:ind w:right="-421" w:firstLine="426"/>
        <w:jc w:val="both"/>
        <w:rPr>
          <w:iCs/>
        </w:rPr>
      </w:pPr>
      <w:r>
        <w:rPr>
          <w:iCs/>
        </w:rPr>
        <w:t>7</w:t>
      </w:r>
      <w:r w:rsidR="00AC1F0F" w:rsidRPr="00E91463">
        <w:rPr>
          <w:iCs/>
        </w:rPr>
        <w:t>.</w:t>
      </w:r>
      <w:r>
        <w:rPr>
          <w:iCs/>
        </w:rPr>
        <w:t>5</w:t>
      </w:r>
      <w:r w:rsidR="00116F2D">
        <w:rPr>
          <w:iCs/>
        </w:rPr>
        <w:t xml:space="preserve">. </w:t>
      </w:r>
      <w:r w:rsidR="00AC1F0F" w:rsidRPr="00E91463">
        <w:rPr>
          <w:iCs/>
        </w:rPr>
        <w:t>Prezentul contract este valabil p</w:t>
      </w:r>
      <w:r w:rsidR="00AC1F0F">
        <w:rPr>
          <w:iCs/>
        </w:rPr>
        <w:t>â</w:t>
      </w:r>
      <w:r w:rsidR="00AC1F0F" w:rsidRPr="00E91463">
        <w:rPr>
          <w:iCs/>
        </w:rPr>
        <w:t xml:space="preserve">nă la </w:t>
      </w:r>
      <w:r>
        <w:rPr>
          <w:iCs/>
        </w:rPr>
        <w:t>31 decembrie 2022</w:t>
      </w:r>
      <w:r w:rsidR="00AC1F0F">
        <w:rPr>
          <w:iCs/>
        </w:rPr>
        <w:t>.</w:t>
      </w:r>
    </w:p>
    <w:p w:rsidR="00AC1F0F" w:rsidRPr="00E91463" w:rsidRDefault="008C36BB" w:rsidP="006A0563">
      <w:pPr>
        <w:ind w:right="-399" w:firstLine="426"/>
        <w:jc w:val="both"/>
        <w:rPr>
          <w:iCs/>
        </w:rPr>
      </w:pPr>
      <w:r>
        <w:rPr>
          <w:iCs/>
        </w:rPr>
        <w:t>7</w:t>
      </w:r>
      <w:r w:rsidR="00AC1F0F" w:rsidRPr="00E91463">
        <w:rPr>
          <w:iCs/>
        </w:rPr>
        <w:t>.</w:t>
      </w:r>
      <w:r>
        <w:rPr>
          <w:iCs/>
        </w:rPr>
        <w:t>6</w:t>
      </w:r>
      <w:r w:rsidR="00116F2D">
        <w:rPr>
          <w:iCs/>
        </w:rPr>
        <w:t xml:space="preserve">. </w:t>
      </w:r>
      <w:r w:rsidR="00AC1F0F" w:rsidRPr="00E91463">
        <w:rPr>
          <w:iCs/>
        </w:rPr>
        <w:t>Prezentul Contract reprezintă acordul de voinţă al  părţilor şi se consideră semnat la data aplicării ultimei semnături de către una din părți.</w:t>
      </w:r>
    </w:p>
    <w:p w:rsidR="00AC1F0F" w:rsidRDefault="008C36BB" w:rsidP="006A0563">
      <w:pPr>
        <w:ind w:right="-399" w:firstLine="426"/>
        <w:jc w:val="both"/>
        <w:rPr>
          <w:iCs/>
        </w:rPr>
      </w:pPr>
      <w:r>
        <w:rPr>
          <w:iCs/>
        </w:rPr>
        <w:t>7</w:t>
      </w:r>
      <w:r w:rsidR="00AC1F0F" w:rsidRPr="00E91463">
        <w:rPr>
          <w:iCs/>
        </w:rPr>
        <w:t>.</w:t>
      </w:r>
      <w:r>
        <w:rPr>
          <w:iCs/>
        </w:rPr>
        <w:t>7</w:t>
      </w:r>
      <w:r w:rsidR="00116F2D">
        <w:rPr>
          <w:iCs/>
        </w:rPr>
        <w:t xml:space="preserve">. </w:t>
      </w:r>
      <w:r w:rsidR="00AC1F0F" w:rsidRPr="00E91463">
        <w:rPr>
          <w:iCs/>
        </w:rPr>
        <w:t>Pentru confirmarea celor menţionate mai sus, Părţile au semnat prezentul Contract în conformitate cu legislaţia Republicii Moldova.</w:t>
      </w:r>
    </w:p>
    <w:p w:rsidR="006D1C3C" w:rsidRDefault="006D1C3C" w:rsidP="00AC1F0F">
      <w:pPr>
        <w:jc w:val="both"/>
        <w:rPr>
          <w:iCs/>
        </w:rPr>
      </w:pPr>
    </w:p>
    <w:p w:rsidR="00F05A1C" w:rsidRDefault="00F05A1C" w:rsidP="00AC1F0F">
      <w:pPr>
        <w:jc w:val="both"/>
        <w:rPr>
          <w:iCs/>
        </w:rPr>
      </w:pPr>
    </w:p>
    <w:p w:rsidR="00F05A1C" w:rsidRDefault="00F05A1C" w:rsidP="00AC1F0F">
      <w:pPr>
        <w:jc w:val="both"/>
        <w:rPr>
          <w:iCs/>
        </w:rPr>
      </w:pPr>
    </w:p>
    <w:p w:rsidR="00F05A1C" w:rsidRDefault="00F05A1C" w:rsidP="00AC1F0F">
      <w:pPr>
        <w:jc w:val="both"/>
        <w:rPr>
          <w:iCs/>
        </w:rPr>
      </w:pPr>
    </w:p>
    <w:p w:rsidR="00F05A1C" w:rsidRDefault="00F05A1C" w:rsidP="00AC1F0F">
      <w:pPr>
        <w:jc w:val="both"/>
        <w:rPr>
          <w:iCs/>
        </w:rPr>
      </w:pPr>
    </w:p>
    <w:p w:rsidR="00F05A1C" w:rsidRDefault="00F05A1C" w:rsidP="00AC1F0F">
      <w:pPr>
        <w:jc w:val="both"/>
        <w:rPr>
          <w:iCs/>
        </w:rPr>
      </w:pPr>
    </w:p>
    <w:p w:rsidR="00F05A1C" w:rsidRDefault="00F05A1C" w:rsidP="00AC1F0F">
      <w:pPr>
        <w:jc w:val="both"/>
        <w:rPr>
          <w:iCs/>
        </w:rPr>
      </w:pPr>
    </w:p>
    <w:p w:rsidR="00F05A1C" w:rsidRDefault="00F05A1C" w:rsidP="00AC1F0F">
      <w:pPr>
        <w:jc w:val="both"/>
        <w:rPr>
          <w:iCs/>
        </w:rPr>
      </w:pPr>
    </w:p>
    <w:p w:rsidR="00F05A1C" w:rsidRDefault="00F05A1C" w:rsidP="00AC1F0F">
      <w:pPr>
        <w:jc w:val="both"/>
        <w:rPr>
          <w:iCs/>
        </w:rPr>
      </w:pPr>
    </w:p>
    <w:p w:rsidR="00F05A1C" w:rsidRDefault="00F05A1C" w:rsidP="00AC1F0F">
      <w:pPr>
        <w:jc w:val="both"/>
        <w:rPr>
          <w:iCs/>
        </w:rPr>
      </w:pPr>
    </w:p>
    <w:p w:rsidR="00F05A1C" w:rsidRPr="008C36BB" w:rsidRDefault="00F05A1C" w:rsidP="00AC1F0F">
      <w:pPr>
        <w:jc w:val="both"/>
        <w:rPr>
          <w:iCs/>
        </w:rPr>
      </w:pPr>
    </w:p>
    <w:p w:rsidR="00AC1F0F" w:rsidRDefault="00AC1F0F" w:rsidP="006D1C3C">
      <w:pPr>
        <w:pStyle w:val="1"/>
        <w:numPr>
          <w:ilvl w:val="0"/>
          <w:numId w:val="2"/>
        </w:numPr>
        <w:tabs>
          <w:tab w:val="left" w:pos="2295"/>
        </w:tabs>
        <w:ind w:left="3240"/>
        <w:jc w:val="left"/>
        <w:rPr>
          <w:i/>
          <w:lang w:val="it-IT"/>
        </w:rPr>
      </w:pPr>
      <w:r w:rsidRPr="006D1C3C">
        <w:rPr>
          <w:i/>
          <w:lang w:val="it-IT"/>
        </w:rPr>
        <w:lastRenderedPageBreak/>
        <w:t>CONDIȚIILE SPECIALE A CONTRACTULUI</w:t>
      </w:r>
    </w:p>
    <w:p w:rsidR="006D1C3C" w:rsidRPr="006D1C3C" w:rsidRDefault="006D1C3C" w:rsidP="006D1C3C">
      <w:pPr>
        <w:rPr>
          <w:lang w:val="it-IT"/>
        </w:rPr>
      </w:pPr>
    </w:p>
    <w:p w:rsidR="00AC1F0F" w:rsidRPr="00F041BF" w:rsidRDefault="00AC1F0F" w:rsidP="008C36BB">
      <w:pPr>
        <w:jc w:val="center"/>
      </w:pPr>
      <w:r>
        <w:t xml:space="preserve">             </w:t>
      </w:r>
      <w:r w:rsidRPr="00F041BF">
        <w:rPr>
          <w:b/>
        </w:rPr>
        <w:t>RECHIZITELE JURIDICE, POŞTALE ŞI DE PLĂŢI ALE PĂRŢILOR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77"/>
      </w:tblGrid>
      <w:tr w:rsidR="008C36BB" w:rsidRPr="009D05E4" w:rsidTr="006D1C3C">
        <w:trPr>
          <w:trHeight w:val="496"/>
        </w:trPr>
        <w:tc>
          <w:tcPr>
            <w:tcW w:w="2423" w:type="pct"/>
            <w:vAlign w:val="center"/>
          </w:tcPr>
          <w:p w:rsidR="008C36BB" w:rsidRPr="00970887" w:rsidRDefault="00AC1F0F" w:rsidP="008C36BB">
            <w:pPr>
              <w:tabs>
                <w:tab w:val="num" w:pos="426"/>
              </w:tabs>
              <w:spacing w:after="100" w:afterAutospacing="1"/>
              <w:jc w:val="center"/>
              <w:rPr>
                <w:b/>
                <w:highlight w:val="yellow"/>
              </w:rPr>
            </w:pPr>
            <w:r w:rsidRPr="0013795E">
              <w:tab/>
            </w:r>
            <w:r w:rsidR="00970887" w:rsidRPr="00970887">
              <w:rPr>
                <w:b/>
              </w:rPr>
              <w:t>IP ȘCOALA PROFESIONALĂ NR.4 DIN MUN. BĂLȚI</w:t>
            </w:r>
          </w:p>
        </w:tc>
        <w:tc>
          <w:tcPr>
            <w:tcW w:w="2577" w:type="pct"/>
            <w:vAlign w:val="center"/>
          </w:tcPr>
          <w:p w:rsidR="008C36BB" w:rsidRPr="009D05E4" w:rsidRDefault="008C36BB" w:rsidP="00385CE0">
            <w:pPr>
              <w:tabs>
                <w:tab w:val="left" w:pos="4680"/>
                <w:tab w:val="left" w:pos="7020"/>
              </w:tabs>
              <w:suppressAutoHyphens/>
              <w:jc w:val="center"/>
              <w:rPr>
                <w:b/>
              </w:rPr>
            </w:pPr>
            <w:r>
              <w:rPr>
                <w:b/>
              </w:rPr>
              <w:t xml:space="preserve">MINISTERUL EDUCAŢIEI </w:t>
            </w:r>
            <w:r w:rsidRPr="007064A0">
              <w:rPr>
                <w:b/>
              </w:rPr>
              <w:t>ȘI CERCETĂRII</w:t>
            </w:r>
          </w:p>
        </w:tc>
      </w:tr>
      <w:tr w:rsidR="008C36BB" w:rsidRPr="007064A0" w:rsidTr="006D1C3C">
        <w:tc>
          <w:tcPr>
            <w:tcW w:w="2423" w:type="pct"/>
          </w:tcPr>
          <w:p w:rsidR="008C36BB" w:rsidRPr="003D1763" w:rsidRDefault="008C36BB" w:rsidP="00385CE0">
            <w:pPr>
              <w:tabs>
                <w:tab w:val="left" w:pos="4680"/>
                <w:tab w:val="left" w:pos="7020"/>
              </w:tabs>
              <w:suppressAutoHyphens/>
              <w:jc w:val="both"/>
            </w:pPr>
            <w:r w:rsidRPr="003D1763">
              <w:t xml:space="preserve">Adresa poştală: </w:t>
            </w:r>
            <w:r w:rsidR="003D1763" w:rsidRPr="003D1763">
              <w:t>m. Bălți, str. Iv.Franco 7</w:t>
            </w:r>
          </w:p>
        </w:tc>
        <w:tc>
          <w:tcPr>
            <w:tcW w:w="2577" w:type="pct"/>
          </w:tcPr>
          <w:p w:rsidR="008C36BB" w:rsidRPr="007064A0" w:rsidRDefault="008C36BB" w:rsidP="00800A86">
            <w:pPr>
              <w:tabs>
                <w:tab w:val="left" w:pos="4680"/>
                <w:tab w:val="left" w:pos="7020"/>
              </w:tabs>
              <w:suppressAutoHyphens/>
              <w:jc w:val="both"/>
            </w:pPr>
            <w:r w:rsidRPr="007064A0">
              <w:t>Adresa poştală: Piaţa Marii Adunări Naţionale</w:t>
            </w:r>
            <w:r w:rsidR="00800A86">
              <w:t xml:space="preserve"> 1</w:t>
            </w:r>
            <w:r w:rsidRPr="007064A0">
              <w:t xml:space="preserve"> </w:t>
            </w:r>
          </w:p>
        </w:tc>
      </w:tr>
      <w:tr w:rsidR="008C36BB" w:rsidRPr="007064A0" w:rsidTr="006D1C3C">
        <w:tc>
          <w:tcPr>
            <w:tcW w:w="2423" w:type="pct"/>
          </w:tcPr>
          <w:p w:rsidR="008C36BB" w:rsidRPr="003D1763" w:rsidRDefault="008C36BB" w:rsidP="00385CE0">
            <w:pPr>
              <w:tabs>
                <w:tab w:val="left" w:pos="4680"/>
                <w:tab w:val="left" w:pos="7020"/>
              </w:tabs>
              <w:suppressAutoHyphens/>
              <w:jc w:val="both"/>
            </w:pPr>
            <w:r w:rsidRPr="003D1763">
              <w:t xml:space="preserve">Telefon: </w:t>
            </w:r>
            <w:r w:rsidR="003D1763" w:rsidRPr="003D1763">
              <w:t>0.231.72457; 0.231.70419</w:t>
            </w:r>
          </w:p>
        </w:tc>
        <w:tc>
          <w:tcPr>
            <w:tcW w:w="2577" w:type="pct"/>
          </w:tcPr>
          <w:p w:rsidR="008C36BB" w:rsidRPr="007064A0" w:rsidRDefault="008C36BB" w:rsidP="00385CE0">
            <w:pPr>
              <w:tabs>
                <w:tab w:val="left" w:pos="4680"/>
                <w:tab w:val="left" w:pos="7020"/>
              </w:tabs>
              <w:suppressAutoHyphens/>
              <w:jc w:val="both"/>
            </w:pPr>
            <w:r w:rsidRPr="007064A0">
              <w:t>Telefon:022-238063, 022-210774, 022-233201</w:t>
            </w:r>
          </w:p>
        </w:tc>
      </w:tr>
      <w:tr w:rsidR="008C36BB" w:rsidRPr="007064A0" w:rsidTr="006D1C3C">
        <w:tc>
          <w:tcPr>
            <w:tcW w:w="2423" w:type="pct"/>
          </w:tcPr>
          <w:p w:rsidR="003D1763" w:rsidRPr="003D1763" w:rsidRDefault="008C36BB" w:rsidP="00385CE0">
            <w:pPr>
              <w:tabs>
                <w:tab w:val="left" w:pos="4680"/>
                <w:tab w:val="left" w:pos="7020"/>
              </w:tabs>
              <w:suppressAutoHyphens/>
              <w:jc w:val="both"/>
            </w:pPr>
            <w:r w:rsidRPr="003D1763">
              <w:t>Cod IBAN:</w:t>
            </w:r>
            <w:bookmarkStart w:id="0" w:name="_GoBack"/>
            <w:bookmarkEnd w:id="0"/>
          </w:p>
        </w:tc>
        <w:tc>
          <w:tcPr>
            <w:tcW w:w="2577" w:type="pct"/>
          </w:tcPr>
          <w:p w:rsidR="008C36BB" w:rsidRPr="007064A0" w:rsidRDefault="008C36BB" w:rsidP="00385CE0">
            <w:pPr>
              <w:tabs>
                <w:tab w:val="left" w:pos="4680"/>
                <w:tab w:val="left" w:pos="7020"/>
              </w:tabs>
              <w:suppressAutoHyphens/>
              <w:jc w:val="both"/>
              <w:rPr>
                <w:highlight w:val="yellow"/>
              </w:rPr>
            </w:pPr>
            <w:r w:rsidRPr="00D9054D">
              <w:t xml:space="preserve">IBAN: </w:t>
            </w:r>
          </w:p>
        </w:tc>
      </w:tr>
      <w:tr w:rsidR="008C36BB" w:rsidRPr="006868D1" w:rsidTr="003D1763">
        <w:trPr>
          <w:trHeight w:val="274"/>
        </w:trPr>
        <w:tc>
          <w:tcPr>
            <w:tcW w:w="2423" w:type="pct"/>
          </w:tcPr>
          <w:p w:rsidR="008C36BB" w:rsidRPr="00F05A1C" w:rsidRDefault="003D1763" w:rsidP="00385CE0">
            <w:pPr>
              <w:tabs>
                <w:tab w:val="left" w:pos="4680"/>
                <w:tab w:val="left" w:pos="7020"/>
              </w:tabs>
              <w:suppressAutoHyphens/>
              <w:jc w:val="both"/>
              <w:rPr>
                <w:b/>
                <w:sz w:val="20"/>
                <w:szCs w:val="20"/>
              </w:rPr>
            </w:pPr>
            <w:r w:rsidRPr="00F05A1C">
              <w:rPr>
                <w:b/>
                <w:sz w:val="20"/>
                <w:szCs w:val="20"/>
              </w:rPr>
              <w:t>MD55TRPCCW518430A01100AA</w:t>
            </w:r>
            <w:r w:rsidR="00A52F44" w:rsidRPr="00F05A1C">
              <w:rPr>
                <w:b/>
                <w:sz w:val="20"/>
                <w:szCs w:val="20"/>
              </w:rPr>
              <w:t>-</w:t>
            </w:r>
            <w:r w:rsidR="00F05A1C" w:rsidRPr="00F05A1C">
              <w:rPr>
                <w:b/>
                <w:sz w:val="20"/>
                <w:szCs w:val="20"/>
              </w:rPr>
              <w:t>13711100.00</w:t>
            </w:r>
          </w:p>
        </w:tc>
        <w:tc>
          <w:tcPr>
            <w:tcW w:w="2577" w:type="pct"/>
            <w:tcBorders>
              <w:top w:val="single" w:sz="4" w:space="0" w:color="auto"/>
              <w:left w:val="single" w:sz="8" w:space="0" w:color="auto"/>
              <w:bottom w:val="single" w:sz="4" w:space="0" w:color="auto"/>
              <w:right w:val="single" w:sz="4" w:space="0" w:color="auto"/>
            </w:tcBorders>
            <w:shd w:val="clear" w:color="000000" w:fill="FFFFFF"/>
            <w:vAlign w:val="bottom"/>
          </w:tcPr>
          <w:p w:rsidR="008C36BB" w:rsidRPr="00F05A1C" w:rsidRDefault="008C36BB" w:rsidP="00385CE0">
            <w:pPr>
              <w:rPr>
                <w:rFonts w:cs="Calibri"/>
                <w:b/>
                <w:bCs/>
                <w:color w:val="000000"/>
                <w:sz w:val="20"/>
                <w:szCs w:val="20"/>
              </w:rPr>
            </w:pPr>
            <w:r w:rsidRPr="00F05A1C">
              <w:rPr>
                <w:rFonts w:cs="Calibri"/>
                <w:b/>
                <w:bCs/>
                <w:color w:val="000000"/>
                <w:sz w:val="20"/>
                <w:szCs w:val="20"/>
              </w:rPr>
              <w:t>MD56TRPBAA281811L16289AC -</w:t>
            </w:r>
            <w:r w:rsidR="00F05A1C">
              <w:rPr>
                <w:rFonts w:cs="Calibri"/>
                <w:b/>
                <w:bCs/>
                <w:color w:val="000000"/>
                <w:sz w:val="20"/>
                <w:szCs w:val="20"/>
              </w:rPr>
              <w:t>13711100.00</w:t>
            </w:r>
          </w:p>
        </w:tc>
      </w:tr>
      <w:tr w:rsidR="003D1763" w:rsidRPr="006868D1" w:rsidTr="003D1763">
        <w:trPr>
          <w:trHeight w:val="294"/>
        </w:trPr>
        <w:tc>
          <w:tcPr>
            <w:tcW w:w="2423" w:type="pct"/>
          </w:tcPr>
          <w:p w:rsidR="003D1763" w:rsidRPr="00F05A1C" w:rsidRDefault="003D1763" w:rsidP="003D1763">
            <w:pPr>
              <w:tabs>
                <w:tab w:val="left" w:pos="4680"/>
                <w:tab w:val="left" w:pos="7020"/>
              </w:tabs>
              <w:suppressAutoHyphens/>
              <w:jc w:val="both"/>
              <w:rPr>
                <w:b/>
                <w:sz w:val="20"/>
                <w:szCs w:val="20"/>
              </w:rPr>
            </w:pPr>
            <w:r w:rsidRPr="00F05A1C">
              <w:rPr>
                <w:b/>
                <w:sz w:val="20"/>
                <w:szCs w:val="20"/>
              </w:rPr>
              <w:t>MD62TRPCCW518430C01100AA</w:t>
            </w:r>
            <w:r w:rsidR="00A52F44" w:rsidRPr="00F05A1C">
              <w:rPr>
                <w:b/>
                <w:sz w:val="20"/>
                <w:szCs w:val="20"/>
              </w:rPr>
              <w:t>-</w:t>
            </w:r>
            <w:r w:rsidR="00F05A1C" w:rsidRPr="00F05A1C">
              <w:rPr>
                <w:b/>
                <w:sz w:val="20"/>
                <w:szCs w:val="20"/>
              </w:rPr>
              <w:t>2926600.00</w:t>
            </w:r>
          </w:p>
        </w:tc>
        <w:tc>
          <w:tcPr>
            <w:tcW w:w="2577" w:type="pct"/>
            <w:tcBorders>
              <w:top w:val="nil"/>
              <w:left w:val="single" w:sz="8" w:space="0" w:color="auto"/>
              <w:bottom w:val="single" w:sz="4" w:space="0" w:color="auto"/>
              <w:right w:val="single" w:sz="4" w:space="0" w:color="auto"/>
            </w:tcBorders>
            <w:shd w:val="clear" w:color="000000" w:fill="FFFFFF"/>
            <w:vAlign w:val="bottom"/>
          </w:tcPr>
          <w:p w:rsidR="003D1763" w:rsidRPr="00F05A1C" w:rsidRDefault="003D1763" w:rsidP="003D1763">
            <w:pPr>
              <w:rPr>
                <w:rFonts w:cs="Calibri"/>
                <w:b/>
                <w:bCs/>
                <w:color w:val="000000"/>
                <w:sz w:val="20"/>
                <w:szCs w:val="20"/>
              </w:rPr>
            </w:pPr>
            <w:r w:rsidRPr="00F05A1C">
              <w:rPr>
                <w:rFonts w:cs="Calibri"/>
                <w:b/>
                <w:bCs/>
                <w:color w:val="000000"/>
                <w:sz w:val="20"/>
                <w:szCs w:val="20"/>
              </w:rPr>
              <w:t>MD61TRPBAA281211L16289AC -</w:t>
            </w:r>
            <w:r w:rsidR="00F05A1C">
              <w:rPr>
                <w:rFonts w:cs="Calibri"/>
                <w:b/>
                <w:bCs/>
                <w:color w:val="000000"/>
                <w:sz w:val="20"/>
                <w:szCs w:val="20"/>
              </w:rPr>
              <w:t>2926600.00</w:t>
            </w:r>
          </w:p>
        </w:tc>
      </w:tr>
      <w:tr w:rsidR="003D1763" w:rsidRPr="006868D1" w:rsidTr="006D1C3C">
        <w:tc>
          <w:tcPr>
            <w:tcW w:w="2423" w:type="pct"/>
          </w:tcPr>
          <w:p w:rsidR="003D1763" w:rsidRPr="00F05A1C" w:rsidRDefault="003D1763" w:rsidP="003D1763">
            <w:pPr>
              <w:tabs>
                <w:tab w:val="left" w:pos="4680"/>
                <w:tab w:val="left" w:pos="7020"/>
              </w:tabs>
              <w:suppressAutoHyphens/>
              <w:jc w:val="both"/>
              <w:rPr>
                <w:b/>
                <w:sz w:val="20"/>
                <w:szCs w:val="20"/>
              </w:rPr>
            </w:pPr>
            <w:r w:rsidRPr="00F05A1C">
              <w:rPr>
                <w:b/>
                <w:sz w:val="20"/>
                <w:szCs w:val="20"/>
              </w:rPr>
              <w:t>MD10TRPCCW518430B01100AA</w:t>
            </w:r>
            <w:r w:rsidR="00A52F44" w:rsidRPr="00F05A1C">
              <w:rPr>
                <w:b/>
                <w:sz w:val="20"/>
                <w:szCs w:val="20"/>
              </w:rPr>
              <w:t>-</w:t>
            </w:r>
            <w:r w:rsidR="00F05A1C" w:rsidRPr="00F05A1C">
              <w:rPr>
                <w:b/>
                <w:sz w:val="20"/>
                <w:szCs w:val="20"/>
              </w:rPr>
              <w:t>1154700.00</w:t>
            </w:r>
          </w:p>
        </w:tc>
        <w:tc>
          <w:tcPr>
            <w:tcW w:w="2577" w:type="pct"/>
            <w:tcBorders>
              <w:top w:val="nil"/>
              <w:left w:val="single" w:sz="8" w:space="0" w:color="auto"/>
              <w:bottom w:val="single" w:sz="4" w:space="0" w:color="auto"/>
              <w:right w:val="single" w:sz="4" w:space="0" w:color="auto"/>
            </w:tcBorders>
            <w:shd w:val="clear" w:color="000000" w:fill="FFFFFF"/>
            <w:vAlign w:val="bottom"/>
          </w:tcPr>
          <w:p w:rsidR="003D1763" w:rsidRPr="00F05A1C" w:rsidRDefault="003D1763" w:rsidP="003D1763">
            <w:pPr>
              <w:rPr>
                <w:rFonts w:cs="Calibri"/>
                <w:b/>
                <w:bCs/>
                <w:color w:val="000000"/>
                <w:sz w:val="20"/>
                <w:szCs w:val="20"/>
              </w:rPr>
            </w:pPr>
            <w:r w:rsidRPr="00F05A1C">
              <w:rPr>
                <w:rFonts w:cs="Calibri"/>
                <w:b/>
                <w:bCs/>
                <w:color w:val="000000"/>
                <w:sz w:val="20"/>
                <w:szCs w:val="20"/>
              </w:rPr>
              <w:t>MD83TRPBAA281811L16289AB -</w:t>
            </w:r>
            <w:r w:rsidR="00F05A1C">
              <w:rPr>
                <w:rFonts w:cs="Calibri"/>
                <w:b/>
                <w:bCs/>
                <w:color w:val="000000"/>
                <w:sz w:val="20"/>
                <w:szCs w:val="20"/>
              </w:rPr>
              <w:t>1154700.00</w:t>
            </w:r>
          </w:p>
        </w:tc>
      </w:tr>
      <w:tr w:rsidR="003D1763" w:rsidRPr="006868D1" w:rsidTr="006D1C3C">
        <w:tc>
          <w:tcPr>
            <w:tcW w:w="2423" w:type="pct"/>
          </w:tcPr>
          <w:p w:rsidR="003D1763" w:rsidRPr="00F05A1C" w:rsidRDefault="003D1763" w:rsidP="003D1763">
            <w:pPr>
              <w:tabs>
                <w:tab w:val="left" w:pos="4680"/>
                <w:tab w:val="left" w:pos="7020"/>
              </w:tabs>
              <w:suppressAutoHyphens/>
              <w:jc w:val="both"/>
              <w:rPr>
                <w:b/>
                <w:sz w:val="20"/>
                <w:szCs w:val="20"/>
              </w:rPr>
            </w:pPr>
            <w:r w:rsidRPr="00F05A1C">
              <w:rPr>
                <w:b/>
                <w:sz w:val="20"/>
                <w:szCs w:val="20"/>
              </w:rPr>
              <w:t>MD31TRPCCW518430H01100AA</w:t>
            </w:r>
            <w:r w:rsidR="00A52F44" w:rsidRPr="00F05A1C">
              <w:rPr>
                <w:b/>
                <w:sz w:val="20"/>
                <w:szCs w:val="20"/>
              </w:rPr>
              <w:t>-</w:t>
            </w:r>
            <w:r w:rsidR="00F05A1C" w:rsidRPr="00F05A1C">
              <w:rPr>
                <w:b/>
                <w:sz w:val="20"/>
                <w:szCs w:val="20"/>
              </w:rPr>
              <w:t>1578100.00</w:t>
            </w:r>
          </w:p>
        </w:tc>
        <w:tc>
          <w:tcPr>
            <w:tcW w:w="2577" w:type="pct"/>
            <w:tcBorders>
              <w:top w:val="nil"/>
              <w:left w:val="single" w:sz="8" w:space="0" w:color="auto"/>
              <w:bottom w:val="single" w:sz="4" w:space="0" w:color="auto"/>
              <w:right w:val="single" w:sz="4" w:space="0" w:color="auto"/>
            </w:tcBorders>
            <w:shd w:val="clear" w:color="000000" w:fill="FFFFFF"/>
            <w:vAlign w:val="bottom"/>
          </w:tcPr>
          <w:p w:rsidR="003D1763" w:rsidRPr="00F05A1C" w:rsidRDefault="003D1763" w:rsidP="003D1763">
            <w:pPr>
              <w:rPr>
                <w:rFonts w:cs="Calibri"/>
                <w:b/>
                <w:bCs/>
                <w:color w:val="000000"/>
                <w:sz w:val="20"/>
                <w:szCs w:val="20"/>
              </w:rPr>
            </w:pPr>
            <w:r w:rsidRPr="00F05A1C">
              <w:rPr>
                <w:rFonts w:cs="Calibri"/>
                <w:b/>
                <w:bCs/>
                <w:color w:val="000000"/>
                <w:sz w:val="20"/>
                <w:szCs w:val="20"/>
              </w:rPr>
              <w:t>MD02TRPBAA281811L16289AE -</w:t>
            </w:r>
            <w:r w:rsidR="00F05A1C">
              <w:rPr>
                <w:rFonts w:cs="Calibri"/>
                <w:b/>
                <w:bCs/>
                <w:color w:val="000000"/>
                <w:sz w:val="20"/>
                <w:szCs w:val="20"/>
              </w:rPr>
              <w:t>1578100.00</w:t>
            </w:r>
          </w:p>
        </w:tc>
      </w:tr>
      <w:tr w:rsidR="008C36BB" w:rsidRPr="007064A0" w:rsidTr="006D1C3C">
        <w:trPr>
          <w:trHeight w:val="434"/>
        </w:trPr>
        <w:tc>
          <w:tcPr>
            <w:tcW w:w="2423" w:type="pct"/>
          </w:tcPr>
          <w:p w:rsidR="008C36BB" w:rsidRPr="003D1763" w:rsidRDefault="008C36BB" w:rsidP="00385CE0">
            <w:pPr>
              <w:tabs>
                <w:tab w:val="left" w:pos="4680"/>
                <w:tab w:val="left" w:pos="7020"/>
              </w:tabs>
              <w:suppressAutoHyphens/>
              <w:jc w:val="both"/>
            </w:pPr>
            <w:r w:rsidRPr="003D1763">
              <w:t xml:space="preserve">Banca: </w:t>
            </w:r>
            <w:r w:rsidR="003D1763" w:rsidRPr="003D1763">
              <w:t>MF-TR Nord Bălți</w:t>
            </w:r>
          </w:p>
        </w:tc>
        <w:tc>
          <w:tcPr>
            <w:tcW w:w="2577" w:type="pct"/>
          </w:tcPr>
          <w:p w:rsidR="008C36BB" w:rsidRPr="007064A0" w:rsidRDefault="008C36BB" w:rsidP="00385CE0">
            <w:pPr>
              <w:tabs>
                <w:tab w:val="left" w:pos="4680"/>
                <w:tab w:val="left" w:pos="7020"/>
              </w:tabs>
              <w:suppressAutoHyphens/>
              <w:jc w:val="both"/>
            </w:pPr>
            <w:r w:rsidRPr="007064A0">
              <w:t>Banca: MF- Trezoreria de Stat</w:t>
            </w:r>
          </w:p>
        </w:tc>
      </w:tr>
      <w:tr w:rsidR="008C36BB" w:rsidRPr="007064A0" w:rsidTr="006D1C3C">
        <w:tc>
          <w:tcPr>
            <w:tcW w:w="2423" w:type="pct"/>
          </w:tcPr>
          <w:p w:rsidR="003D1763" w:rsidRPr="003D1763" w:rsidRDefault="008C36BB" w:rsidP="00385CE0">
            <w:pPr>
              <w:tabs>
                <w:tab w:val="left" w:pos="4680"/>
                <w:tab w:val="left" w:pos="7020"/>
              </w:tabs>
              <w:suppressAutoHyphens/>
              <w:jc w:val="both"/>
            </w:pPr>
            <w:r w:rsidRPr="003D1763">
              <w:t>Adresa poştală a băncii:</w:t>
            </w:r>
          </w:p>
          <w:p w:rsidR="008C36BB" w:rsidRPr="003D1763" w:rsidRDefault="008C36BB" w:rsidP="00385CE0">
            <w:pPr>
              <w:tabs>
                <w:tab w:val="left" w:pos="4680"/>
                <w:tab w:val="left" w:pos="7020"/>
              </w:tabs>
              <w:suppressAutoHyphens/>
              <w:jc w:val="both"/>
            </w:pPr>
            <w:r w:rsidRPr="003D1763">
              <w:t xml:space="preserve"> </w:t>
            </w:r>
            <w:r w:rsidR="003D1763" w:rsidRPr="003D1763">
              <w:t>m. Bălți, str. Ștefan cel Mare 14</w:t>
            </w:r>
          </w:p>
        </w:tc>
        <w:tc>
          <w:tcPr>
            <w:tcW w:w="2577" w:type="pct"/>
          </w:tcPr>
          <w:p w:rsidR="008C36BB" w:rsidRPr="007064A0" w:rsidRDefault="008C36BB" w:rsidP="00385CE0">
            <w:pPr>
              <w:tabs>
                <w:tab w:val="left" w:pos="4680"/>
                <w:tab w:val="left" w:pos="7020"/>
              </w:tabs>
              <w:suppressAutoHyphens/>
              <w:jc w:val="both"/>
            </w:pPr>
            <w:r w:rsidRPr="007064A0">
              <w:t>Adresa poştală a băncii: MD-2005, mun. Chișinău, str. Constantin Tănase, 7</w:t>
            </w:r>
          </w:p>
        </w:tc>
      </w:tr>
      <w:tr w:rsidR="008C36BB" w:rsidRPr="007064A0" w:rsidTr="006D1C3C">
        <w:tc>
          <w:tcPr>
            <w:tcW w:w="2423" w:type="pct"/>
          </w:tcPr>
          <w:p w:rsidR="008C36BB" w:rsidRPr="003D1763" w:rsidRDefault="008C36BB" w:rsidP="00385CE0">
            <w:pPr>
              <w:tabs>
                <w:tab w:val="left" w:pos="4680"/>
                <w:tab w:val="left" w:pos="7020"/>
              </w:tabs>
              <w:suppressAutoHyphens/>
              <w:jc w:val="both"/>
            </w:pPr>
            <w:r w:rsidRPr="003D1763">
              <w:t xml:space="preserve">Codul băncii: </w:t>
            </w:r>
            <w:r w:rsidR="003D1763" w:rsidRPr="003D1763">
              <w:t>TREZMD2X</w:t>
            </w:r>
          </w:p>
        </w:tc>
        <w:tc>
          <w:tcPr>
            <w:tcW w:w="2577" w:type="pct"/>
          </w:tcPr>
          <w:p w:rsidR="008C36BB" w:rsidRPr="007064A0" w:rsidRDefault="008C36BB" w:rsidP="00385CE0">
            <w:pPr>
              <w:tabs>
                <w:tab w:val="left" w:pos="4680"/>
                <w:tab w:val="left" w:pos="7020"/>
              </w:tabs>
              <w:suppressAutoHyphens/>
              <w:jc w:val="both"/>
            </w:pPr>
            <w:r w:rsidRPr="007064A0">
              <w:t>Cod: TREZMD2X</w:t>
            </w:r>
          </w:p>
        </w:tc>
      </w:tr>
      <w:tr w:rsidR="008C36BB" w:rsidRPr="007064A0" w:rsidTr="006D1C3C">
        <w:tc>
          <w:tcPr>
            <w:tcW w:w="2423" w:type="pct"/>
          </w:tcPr>
          <w:p w:rsidR="008C36BB" w:rsidRPr="003D1763" w:rsidRDefault="008C36BB" w:rsidP="00385CE0">
            <w:pPr>
              <w:tabs>
                <w:tab w:val="left" w:pos="4680"/>
                <w:tab w:val="left" w:pos="7020"/>
              </w:tabs>
              <w:suppressAutoHyphens/>
              <w:jc w:val="both"/>
            </w:pPr>
            <w:r w:rsidRPr="003D1763">
              <w:t xml:space="preserve">Cod fiscal: </w:t>
            </w:r>
            <w:r w:rsidR="003D1763" w:rsidRPr="003D1763">
              <w:t>1007602003973</w:t>
            </w:r>
          </w:p>
        </w:tc>
        <w:tc>
          <w:tcPr>
            <w:tcW w:w="2577" w:type="pct"/>
          </w:tcPr>
          <w:p w:rsidR="008C36BB" w:rsidRPr="007064A0" w:rsidRDefault="008C36BB" w:rsidP="00385CE0">
            <w:pPr>
              <w:tabs>
                <w:tab w:val="left" w:pos="4680"/>
                <w:tab w:val="left" w:pos="7020"/>
              </w:tabs>
              <w:suppressAutoHyphens/>
              <w:jc w:val="both"/>
            </w:pPr>
            <w:r w:rsidRPr="007064A0">
              <w:t>Cod fiscal: 1006601000107</w:t>
            </w:r>
          </w:p>
        </w:tc>
      </w:tr>
      <w:tr w:rsidR="008C36BB" w:rsidRPr="006868D1" w:rsidTr="006D1C3C">
        <w:trPr>
          <w:trHeight w:val="300"/>
        </w:trPr>
        <w:tc>
          <w:tcPr>
            <w:tcW w:w="5000" w:type="pct"/>
            <w:gridSpan w:val="2"/>
          </w:tcPr>
          <w:p w:rsidR="008C36BB" w:rsidRPr="006868D1" w:rsidRDefault="008C36BB" w:rsidP="00385CE0">
            <w:pPr>
              <w:tabs>
                <w:tab w:val="left" w:pos="4680"/>
                <w:tab w:val="left" w:pos="7020"/>
              </w:tabs>
              <w:suppressAutoHyphens/>
              <w:jc w:val="center"/>
              <w:rPr>
                <w:sz w:val="28"/>
                <w:szCs w:val="28"/>
                <w:highlight w:val="yellow"/>
              </w:rPr>
            </w:pPr>
            <w:r w:rsidRPr="00D9054D">
              <w:rPr>
                <w:b/>
                <w:sz w:val="28"/>
                <w:szCs w:val="28"/>
              </w:rPr>
              <w:t>Semnăturile părților</w:t>
            </w:r>
          </w:p>
        </w:tc>
      </w:tr>
      <w:tr w:rsidR="008C36BB" w:rsidRPr="007064A0" w:rsidTr="006D1C3C">
        <w:tc>
          <w:tcPr>
            <w:tcW w:w="2423" w:type="pct"/>
          </w:tcPr>
          <w:p w:rsidR="008C36BB" w:rsidRPr="003D1763" w:rsidRDefault="008C36BB" w:rsidP="00385CE0">
            <w:pPr>
              <w:tabs>
                <w:tab w:val="left" w:pos="4680"/>
                <w:tab w:val="left" w:pos="7020"/>
              </w:tabs>
              <w:suppressAutoHyphens/>
              <w:jc w:val="both"/>
            </w:pPr>
            <w:r w:rsidRPr="003D1763">
              <w:t>Semnătura autorizată:</w:t>
            </w:r>
          </w:p>
        </w:tc>
        <w:tc>
          <w:tcPr>
            <w:tcW w:w="2577" w:type="pct"/>
          </w:tcPr>
          <w:p w:rsidR="008C36BB" w:rsidRPr="007064A0" w:rsidRDefault="008C36BB" w:rsidP="00385CE0">
            <w:pPr>
              <w:tabs>
                <w:tab w:val="left" w:pos="4680"/>
                <w:tab w:val="left" w:pos="7020"/>
              </w:tabs>
              <w:suppressAutoHyphens/>
              <w:jc w:val="both"/>
            </w:pPr>
            <w:r w:rsidRPr="007064A0">
              <w:t>Semnătura autorizată:</w:t>
            </w:r>
          </w:p>
        </w:tc>
      </w:tr>
      <w:tr w:rsidR="008C36BB" w:rsidRPr="00331410" w:rsidTr="006D1C3C">
        <w:trPr>
          <w:trHeight w:val="684"/>
        </w:trPr>
        <w:tc>
          <w:tcPr>
            <w:tcW w:w="2423" w:type="pct"/>
          </w:tcPr>
          <w:p w:rsidR="003D1763" w:rsidRPr="003D1763" w:rsidRDefault="008C36BB" w:rsidP="00385CE0">
            <w:pPr>
              <w:tabs>
                <w:tab w:val="left" w:pos="4680"/>
                <w:tab w:val="left" w:pos="7020"/>
              </w:tabs>
              <w:suppressAutoHyphens/>
              <w:rPr>
                <w:b/>
              </w:rPr>
            </w:pPr>
            <w:r w:rsidRPr="003D1763">
              <w:rPr>
                <w:b/>
              </w:rPr>
              <w:t xml:space="preserve">Director  </w:t>
            </w:r>
            <w:r w:rsidR="003D1763" w:rsidRPr="003D1763">
              <w:rPr>
                <w:b/>
              </w:rPr>
              <w:t>interimar</w:t>
            </w:r>
          </w:p>
          <w:p w:rsidR="008C36BB" w:rsidRPr="003D1763" w:rsidRDefault="003D1763" w:rsidP="00385CE0">
            <w:pPr>
              <w:tabs>
                <w:tab w:val="left" w:pos="4680"/>
                <w:tab w:val="left" w:pos="7020"/>
              </w:tabs>
              <w:suppressAutoHyphens/>
              <w:rPr>
                <w:b/>
              </w:rPr>
            </w:pPr>
            <w:r w:rsidRPr="003D1763">
              <w:rPr>
                <w:b/>
              </w:rPr>
              <w:t>Mariana Pădureac</w:t>
            </w:r>
            <w:r w:rsidR="008C36BB" w:rsidRPr="003D1763">
              <w:rPr>
                <w:b/>
              </w:rPr>
              <w:t xml:space="preserve">                       </w:t>
            </w:r>
          </w:p>
        </w:tc>
        <w:tc>
          <w:tcPr>
            <w:tcW w:w="2577" w:type="pct"/>
          </w:tcPr>
          <w:p w:rsidR="008C36BB" w:rsidRPr="00331410" w:rsidRDefault="008C36BB" w:rsidP="00385CE0">
            <w:pPr>
              <w:tabs>
                <w:tab w:val="left" w:pos="4680"/>
                <w:tab w:val="left" w:pos="7020"/>
              </w:tabs>
              <w:suppressAutoHyphens/>
              <w:rPr>
                <w:b/>
                <w:color w:val="000000"/>
              </w:rPr>
            </w:pPr>
            <w:r w:rsidRPr="00331410">
              <w:rPr>
                <w:b/>
                <w:color w:val="000000"/>
              </w:rPr>
              <w:t xml:space="preserve">Ministru </w:t>
            </w:r>
            <w:r w:rsidRPr="00331410">
              <w:rPr>
                <w:color w:val="000000"/>
              </w:rPr>
              <w:t xml:space="preserve">                   </w:t>
            </w:r>
            <w:r w:rsidR="006D1C3C">
              <w:rPr>
                <w:color w:val="000000"/>
              </w:rPr>
              <w:t xml:space="preserve">    </w:t>
            </w:r>
            <w:r>
              <w:rPr>
                <w:color w:val="000000"/>
              </w:rPr>
              <w:t xml:space="preserve">   </w:t>
            </w:r>
            <w:r w:rsidRPr="00331410">
              <w:rPr>
                <w:b/>
                <w:color w:val="000000"/>
              </w:rPr>
              <w:t>Anatolie TOPALĂ</w:t>
            </w:r>
            <w:r w:rsidRPr="00331410">
              <w:rPr>
                <w:color w:val="000000"/>
              </w:rPr>
              <w:t xml:space="preserve">               </w:t>
            </w:r>
            <w:r w:rsidRPr="00331410">
              <w:rPr>
                <w:b/>
                <w:color w:val="000000"/>
              </w:rPr>
              <w:t xml:space="preserve"> </w:t>
            </w:r>
          </w:p>
        </w:tc>
      </w:tr>
      <w:tr w:rsidR="008C36BB" w:rsidRPr="00331410" w:rsidTr="006D1C3C">
        <w:trPr>
          <w:trHeight w:val="694"/>
        </w:trPr>
        <w:tc>
          <w:tcPr>
            <w:tcW w:w="2423" w:type="pct"/>
          </w:tcPr>
          <w:p w:rsidR="008C36BB" w:rsidRPr="003D1763" w:rsidRDefault="008C36BB" w:rsidP="00385CE0">
            <w:pPr>
              <w:tabs>
                <w:tab w:val="left" w:pos="4680"/>
                <w:tab w:val="left" w:pos="7020"/>
              </w:tabs>
              <w:suppressAutoHyphens/>
              <w:rPr>
                <w:b/>
              </w:rPr>
            </w:pPr>
          </w:p>
        </w:tc>
        <w:tc>
          <w:tcPr>
            <w:tcW w:w="2577" w:type="pct"/>
          </w:tcPr>
          <w:p w:rsidR="008C36BB" w:rsidRPr="00331410" w:rsidRDefault="008C36BB" w:rsidP="00385CE0">
            <w:pPr>
              <w:tabs>
                <w:tab w:val="left" w:pos="4680"/>
                <w:tab w:val="left" w:pos="7020"/>
              </w:tabs>
              <w:suppressAutoHyphens/>
              <w:rPr>
                <w:b/>
                <w:color w:val="000000"/>
              </w:rPr>
            </w:pPr>
            <w:r w:rsidRPr="009A468C">
              <w:rPr>
                <w:b/>
                <w:color w:val="000000"/>
              </w:rPr>
              <w:t>Secretar de stat</w:t>
            </w:r>
            <w:r>
              <w:rPr>
                <w:b/>
                <w:color w:val="000000"/>
              </w:rPr>
              <w:t xml:space="preserve">                          Galina RUSU</w:t>
            </w:r>
          </w:p>
        </w:tc>
      </w:tr>
      <w:tr w:rsidR="008C36BB" w:rsidRPr="007064A0" w:rsidTr="006D1C3C">
        <w:trPr>
          <w:trHeight w:val="704"/>
        </w:trPr>
        <w:tc>
          <w:tcPr>
            <w:tcW w:w="2423" w:type="pct"/>
          </w:tcPr>
          <w:p w:rsidR="008C36BB" w:rsidRPr="003D1763" w:rsidRDefault="008C36BB" w:rsidP="00385CE0">
            <w:pPr>
              <w:tabs>
                <w:tab w:val="left" w:pos="4680"/>
                <w:tab w:val="left" w:pos="7020"/>
              </w:tabs>
              <w:suppressAutoHyphens/>
            </w:pPr>
            <w:r w:rsidRPr="003D1763">
              <w:t>Contabil-șef</w:t>
            </w:r>
          </w:p>
          <w:p w:rsidR="003D1763" w:rsidRPr="003D1763" w:rsidRDefault="003D1763" w:rsidP="00385CE0">
            <w:pPr>
              <w:tabs>
                <w:tab w:val="left" w:pos="4680"/>
                <w:tab w:val="left" w:pos="7020"/>
              </w:tabs>
              <w:suppressAutoHyphens/>
              <w:rPr>
                <w:b/>
              </w:rPr>
            </w:pPr>
            <w:r w:rsidRPr="003D1763">
              <w:rPr>
                <w:b/>
              </w:rPr>
              <w:t>Liudmila Bondarenco</w:t>
            </w:r>
          </w:p>
        </w:tc>
        <w:tc>
          <w:tcPr>
            <w:tcW w:w="2577" w:type="pct"/>
          </w:tcPr>
          <w:p w:rsidR="008C36BB" w:rsidRPr="007064A0" w:rsidRDefault="008C36BB" w:rsidP="00385CE0">
            <w:pPr>
              <w:tabs>
                <w:tab w:val="left" w:pos="4680"/>
                <w:tab w:val="left" w:pos="7020"/>
              </w:tabs>
              <w:suppressAutoHyphens/>
            </w:pPr>
            <w:r w:rsidRPr="00EA0CA4">
              <w:rPr>
                <w:color w:val="000000"/>
                <w:lang w:val="fr-FR"/>
              </w:rPr>
              <w:t>Şef Direcție management instituțional</w:t>
            </w:r>
            <w:r w:rsidRPr="00EA0CA4">
              <w:rPr>
                <w:b/>
                <w:bCs/>
                <w:color w:val="000000"/>
                <w:lang w:val="fr-FR"/>
              </w:rPr>
              <w:br/>
            </w:r>
            <w:r>
              <w:rPr>
                <w:b/>
                <w:bCs/>
                <w:color w:val="000000"/>
                <w:lang w:val="fr-FR"/>
              </w:rPr>
              <w:t xml:space="preserve">                                                     </w:t>
            </w:r>
            <w:r w:rsidRPr="00EA0CA4">
              <w:rPr>
                <w:b/>
                <w:bCs/>
                <w:color w:val="000000"/>
                <w:lang w:val="fr-FR"/>
              </w:rPr>
              <w:t>Ion SOBARI</w:t>
            </w:r>
          </w:p>
        </w:tc>
      </w:tr>
      <w:tr w:rsidR="008C36BB" w:rsidRPr="007064A0" w:rsidTr="006D1C3C">
        <w:trPr>
          <w:trHeight w:val="700"/>
        </w:trPr>
        <w:tc>
          <w:tcPr>
            <w:tcW w:w="2423" w:type="pct"/>
          </w:tcPr>
          <w:p w:rsidR="008C36BB" w:rsidRPr="007064A0" w:rsidRDefault="008C36BB" w:rsidP="00385CE0">
            <w:pPr>
              <w:tabs>
                <w:tab w:val="left" w:pos="4680"/>
                <w:tab w:val="left" w:pos="7020"/>
              </w:tabs>
              <w:suppressAutoHyphens/>
              <w:rPr>
                <w:b/>
                <w:highlight w:val="yellow"/>
              </w:rPr>
            </w:pPr>
          </w:p>
          <w:p w:rsidR="008C36BB" w:rsidRPr="007064A0" w:rsidRDefault="008C36BB" w:rsidP="00385CE0">
            <w:pPr>
              <w:tabs>
                <w:tab w:val="left" w:pos="4680"/>
                <w:tab w:val="left" w:pos="7020"/>
              </w:tabs>
              <w:suppressAutoHyphens/>
              <w:jc w:val="center"/>
              <w:rPr>
                <w:b/>
                <w:highlight w:val="yellow"/>
              </w:rPr>
            </w:pPr>
          </w:p>
        </w:tc>
        <w:tc>
          <w:tcPr>
            <w:tcW w:w="2577" w:type="pct"/>
          </w:tcPr>
          <w:p w:rsidR="008C36BB" w:rsidRPr="007064A0" w:rsidRDefault="008C36BB" w:rsidP="00385CE0">
            <w:pPr>
              <w:tabs>
                <w:tab w:val="left" w:pos="4680"/>
                <w:tab w:val="left" w:pos="7020"/>
              </w:tabs>
              <w:suppressAutoHyphens/>
            </w:pPr>
            <w:r w:rsidRPr="007064A0">
              <w:t>Şef Secție financiar-administrativă</w:t>
            </w:r>
          </w:p>
          <w:p w:rsidR="008C36BB" w:rsidRPr="007064A0" w:rsidRDefault="008C36BB" w:rsidP="00385CE0">
            <w:pPr>
              <w:tabs>
                <w:tab w:val="left" w:pos="4680"/>
                <w:tab w:val="left" w:pos="7020"/>
              </w:tabs>
              <w:suppressAutoHyphens/>
              <w:jc w:val="right"/>
              <w:rPr>
                <w:b/>
              </w:rPr>
            </w:pPr>
            <w:r w:rsidRPr="007064A0">
              <w:rPr>
                <w:b/>
              </w:rPr>
              <w:t>Olga SOGA</w:t>
            </w:r>
          </w:p>
        </w:tc>
      </w:tr>
      <w:tr w:rsidR="008C36BB" w:rsidRPr="00FF2C22" w:rsidTr="006D1C3C">
        <w:trPr>
          <w:trHeight w:val="560"/>
        </w:trPr>
        <w:tc>
          <w:tcPr>
            <w:tcW w:w="2423" w:type="pct"/>
          </w:tcPr>
          <w:p w:rsidR="008C36BB" w:rsidRPr="007064A0" w:rsidRDefault="008C36BB" w:rsidP="00385CE0">
            <w:pPr>
              <w:tabs>
                <w:tab w:val="left" w:pos="4680"/>
                <w:tab w:val="left" w:pos="7020"/>
              </w:tabs>
              <w:suppressAutoHyphens/>
              <w:jc w:val="right"/>
              <w:rPr>
                <w:b/>
              </w:rPr>
            </w:pPr>
          </w:p>
        </w:tc>
        <w:tc>
          <w:tcPr>
            <w:tcW w:w="2577" w:type="pct"/>
          </w:tcPr>
          <w:p w:rsidR="008C36BB" w:rsidRPr="007064A0" w:rsidRDefault="008C36BB" w:rsidP="00385CE0">
            <w:pPr>
              <w:tabs>
                <w:tab w:val="left" w:pos="4680"/>
                <w:tab w:val="left" w:pos="7020"/>
              </w:tabs>
              <w:suppressAutoHyphens/>
            </w:pPr>
            <w:r w:rsidRPr="007064A0">
              <w:t xml:space="preserve">Şef Secţie juridică                       </w:t>
            </w:r>
          </w:p>
          <w:p w:rsidR="008C36BB" w:rsidRPr="00FF2C22" w:rsidRDefault="008C36BB" w:rsidP="00385CE0">
            <w:pPr>
              <w:tabs>
                <w:tab w:val="left" w:pos="4680"/>
                <w:tab w:val="left" w:pos="7020"/>
              </w:tabs>
              <w:suppressAutoHyphens/>
              <w:jc w:val="right"/>
              <w:rPr>
                <w:b/>
              </w:rPr>
            </w:pPr>
            <w:r w:rsidRPr="00FF2C22">
              <w:rPr>
                <w:b/>
              </w:rPr>
              <w:t>Rodica BRAGUȚA</w:t>
            </w:r>
          </w:p>
        </w:tc>
      </w:tr>
      <w:tr w:rsidR="008C36BB" w:rsidRPr="007064A0" w:rsidTr="006D1C3C">
        <w:trPr>
          <w:trHeight w:val="692"/>
        </w:trPr>
        <w:tc>
          <w:tcPr>
            <w:tcW w:w="2423" w:type="pct"/>
          </w:tcPr>
          <w:p w:rsidR="008C36BB" w:rsidRPr="007064A0" w:rsidRDefault="008C36BB" w:rsidP="00385CE0">
            <w:pPr>
              <w:tabs>
                <w:tab w:val="left" w:pos="4680"/>
                <w:tab w:val="left" w:pos="7020"/>
              </w:tabs>
              <w:suppressAutoHyphens/>
              <w:jc w:val="right"/>
              <w:rPr>
                <w:b/>
              </w:rPr>
            </w:pPr>
          </w:p>
        </w:tc>
        <w:tc>
          <w:tcPr>
            <w:tcW w:w="2577" w:type="pct"/>
          </w:tcPr>
          <w:p w:rsidR="008C36BB" w:rsidRPr="007064A0" w:rsidRDefault="008C36BB" w:rsidP="00385CE0">
            <w:pPr>
              <w:tabs>
                <w:tab w:val="left" w:pos="4680"/>
                <w:tab w:val="left" w:pos="7020"/>
              </w:tabs>
              <w:suppressAutoHyphens/>
            </w:pPr>
            <w:r w:rsidRPr="007064A0">
              <w:t>Șef Direcție învățământ profesional tehnic</w:t>
            </w:r>
          </w:p>
          <w:p w:rsidR="008C36BB" w:rsidRPr="007064A0" w:rsidRDefault="008C36BB" w:rsidP="00385CE0">
            <w:pPr>
              <w:tabs>
                <w:tab w:val="left" w:pos="4680"/>
                <w:tab w:val="left" w:pos="7020"/>
              </w:tabs>
              <w:suppressAutoHyphens/>
              <w:jc w:val="right"/>
              <w:rPr>
                <w:b/>
              </w:rPr>
            </w:pPr>
            <w:r w:rsidRPr="007064A0">
              <w:rPr>
                <w:b/>
              </w:rPr>
              <w:t xml:space="preserve">Silviu </w:t>
            </w:r>
            <w:r>
              <w:rPr>
                <w:b/>
              </w:rPr>
              <w:t>GÎNCU</w:t>
            </w:r>
          </w:p>
        </w:tc>
      </w:tr>
      <w:tr w:rsidR="008C36BB" w:rsidRPr="007064A0" w:rsidTr="007B68E7">
        <w:trPr>
          <w:trHeight w:val="435"/>
        </w:trPr>
        <w:tc>
          <w:tcPr>
            <w:tcW w:w="2423" w:type="pct"/>
            <w:vAlign w:val="bottom"/>
          </w:tcPr>
          <w:p w:rsidR="008C36BB" w:rsidRPr="007064A0" w:rsidRDefault="008C36BB" w:rsidP="00385CE0">
            <w:pPr>
              <w:tabs>
                <w:tab w:val="left" w:pos="4680"/>
                <w:tab w:val="left" w:pos="7020"/>
              </w:tabs>
              <w:suppressAutoHyphens/>
            </w:pPr>
            <w:r w:rsidRPr="007064A0">
              <w:t>L.Ş.</w:t>
            </w:r>
          </w:p>
        </w:tc>
        <w:tc>
          <w:tcPr>
            <w:tcW w:w="2577" w:type="pct"/>
            <w:vAlign w:val="bottom"/>
          </w:tcPr>
          <w:p w:rsidR="008C36BB" w:rsidRPr="007064A0" w:rsidRDefault="008C36BB" w:rsidP="00385CE0">
            <w:pPr>
              <w:tabs>
                <w:tab w:val="left" w:pos="4680"/>
                <w:tab w:val="left" w:pos="7020"/>
              </w:tabs>
              <w:suppressAutoHyphens/>
              <w:jc w:val="center"/>
            </w:pPr>
          </w:p>
          <w:p w:rsidR="008C36BB" w:rsidRPr="007064A0" w:rsidRDefault="008C36BB" w:rsidP="00385CE0">
            <w:pPr>
              <w:tabs>
                <w:tab w:val="left" w:pos="4680"/>
                <w:tab w:val="left" w:pos="7020"/>
              </w:tabs>
              <w:suppressAutoHyphens/>
              <w:jc w:val="center"/>
            </w:pPr>
          </w:p>
          <w:p w:rsidR="008C36BB" w:rsidRPr="007064A0" w:rsidRDefault="008C36BB" w:rsidP="00385CE0">
            <w:pPr>
              <w:tabs>
                <w:tab w:val="left" w:pos="4680"/>
                <w:tab w:val="left" w:pos="7020"/>
              </w:tabs>
              <w:suppressAutoHyphens/>
            </w:pPr>
            <w:r w:rsidRPr="007064A0">
              <w:t>L.Ş.</w:t>
            </w:r>
          </w:p>
        </w:tc>
      </w:tr>
    </w:tbl>
    <w:p w:rsidR="00AC1F0F" w:rsidRDefault="00AC1F0F" w:rsidP="00AC1F0F">
      <w:pPr>
        <w:jc w:val="both"/>
      </w:pPr>
    </w:p>
    <w:p w:rsidR="00AC1F0F" w:rsidRPr="00E91463" w:rsidRDefault="00AC1F0F" w:rsidP="00AC1F0F">
      <w:pPr>
        <w:jc w:val="both"/>
      </w:pPr>
    </w:p>
    <w:p w:rsidR="00AC1F0F" w:rsidRPr="00E91463" w:rsidRDefault="00AC1F0F" w:rsidP="00AC1F0F">
      <w:pPr>
        <w:jc w:val="both"/>
      </w:pPr>
    </w:p>
    <w:p w:rsidR="00AC1F0F" w:rsidRPr="00E91463" w:rsidRDefault="00AC1F0F" w:rsidP="00AC1F0F">
      <w:pPr>
        <w:jc w:val="both"/>
      </w:pPr>
    </w:p>
    <w:p w:rsidR="007646BF" w:rsidRDefault="007646BF"/>
    <w:sectPr w:rsidR="007646BF" w:rsidSect="003D1763">
      <w:headerReference w:type="even" r:id="rId8"/>
      <w:headerReference w:type="default" r:id="rId9"/>
      <w:footerReference w:type="even" r:id="rId10"/>
      <w:footerReference w:type="default" r:id="rId11"/>
      <w:headerReference w:type="first" r:id="rId12"/>
      <w:footerReference w:type="first" r:id="rId13"/>
      <w:pgSz w:w="12240" w:h="15840"/>
      <w:pgMar w:top="1440" w:right="113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3F6" w:rsidRDefault="00AA63F6" w:rsidP="007E5F62">
      <w:r>
        <w:separator/>
      </w:r>
    </w:p>
  </w:endnote>
  <w:endnote w:type="continuationSeparator" w:id="0">
    <w:p w:rsidR="00AA63F6" w:rsidRDefault="00AA63F6" w:rsidP="007E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62" w:rsidRDefault="007E5F6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18129037"/>
      <w:docPartObj>
        <w:docPartGallery w:val="Page Numbers (Bottom of Page)"/>
        <w:docPartUnique/>
      </w:docPartObj>
    </w:sdtPr>
    <w:sdtEndPr>
      <w:rPr>
        <w:noProof/>
      </w:rPr>
    </w:sdtEndPr>
    <w:sdtContent>
      <w:p w:rsidR="007E5F62" w:rsidRDefault="007E5F62">
        <w:pPr>
          <w:pStyle w:val="a8"/>
          <w:jc w:val="right"/>
        </w:pPr>
        <w:r>
          <w:rPr>
            <w:noProof w:val="0"/>
          </w:rPr>
          <w:fldChar w:fldCharType="begin"/>
        </w:r>
        <w:r>
          <w:instrText xml:space="preserve"> PAGE   \* MERGEFORMAT </w:instrText>
        </w:r>
        <w:r>
          <w:rPr>
            <w:noProof w:val="0"/>
          </w:rPr>
          <w:fldChar w:fldCharType="separate"/>
        </w:r>
        <w:r w:rsidR="006A0563">
          <w:t>6</w:t>
        </w:r>
        <w:r>
          <w:fldChar w:fldCharType="end"/>
        </w:r>
      </w:p>
    </w:sdtContent>
  </w:sdt>
  <w:p w:rsidR="007E5F62" w:rsidRDefault="007E5F6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62" w:rsidRDefault="007E5F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3F6" w:rsidRDefault="00AA63F6" w:rsidP="007E5F62">
      <w:r>
        <w:separator/>
      </w:r>
    </w:p>
  </w:footnote>
  <w:footnote w:type="continuationSeparator" w:id="0">
    <w:p w:rsidR="00AA63F6" w:rsidRDefault="00AA63F6" w:rsidP="007E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62" w:rsidRDefault="007E5F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62" w:rsidRDefault="007E5F6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62" w:rsidRDefault="007E5F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C3D60"/>
    <w:multiLevelType w:val="hybridMultilevel"/>
    <w:tmpl w:val="0D9EB296"/>
    <w:lvl w:ilvl="0" w:tplc="C624ED44">
      <w:start w:val="1"/>
      <w:numFmt w:val="lowerLetter"/>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1"/>
    <w:lvlOverride w:ilvl="0">
      <w:startOverride w:val="2"/>
    </w:lvlOverride>
  </w:num>
  <w:num w:numId="3">
    <w:abstractNumId w:val="1"/>
    <w:lvlOverride w:ilvl="0">
      <w:startOverride w:val="2"/>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DC"/>
    <w:rsid w:val="00014640"/>
    <w:rsid w:val="000E7114"/>
    <w:rsid w:val="00116F2D"/>
    <w:rsid w:val="001618C1"/>
    <w:rsid w:val="001657A2"/>
    <w:rsid w:val="00220B38"/>
    <w:rsid w:val="002474EB"/>
    <w:rsid w:val="00254982"/>
    <w:rsid w:val="0028295E"/>
    <w:rsid w:val="002A430A"/>
    <w:rsid w:val="00323FD1"/>
    <w:rsid w:val="003B72EB"/>
    <w:rsid w:val="003D1763"/>
    <w:rsid w:val="003D6094"/>
    <w:rsid w:val="003D7CF7"/>
    <w:rsid w:val="003E0827"/>
    <w:rsid w:val="005732D5"/>
    <w:rsid w:val="005C0FE4"/>
    <w:rsid w:val="00623BE7"/>
    <w:rsid w:val="006A0563"/>
    <w:rsid w:val="006A1545"/>
    <w:rsid w:val="006B2354"/>
    <w:rsid w:val="006D1C3C"/>
    <w:rsid w:val="007436AE"/>
    <w:rsid w:val="007646BF"/>
    <w:rsid w:val="007B68E7"/>
    <w:rsid w:val="007E5F62"/>
    <w:rsid w:val="00800A86"/>
    <w:rsid w:val="00867C41"/>
    <w:rsid w:val="008752E8"/>
    <w:rsid w:val="008A2B5D"/>
    <w:rsid w:val="008C36BB"/>
    <w:rsid w:val="0091389E"/>
    <w:rsid w:val="00970887"/>
    <w:rsid w:val="0099343F"/>
    <w:rsid w:val="009C1ADC"/>
    <w:rsid w:val="009E4471"/>
    <w:rsid w:val="00A3745E"/>
    <w:rsid w:val="00A52F44"/>
    <w:rsid w:val="00AA63F6"/>
    <w:rsid w:val="00AC1F0F"/>
    <w:rsid w:val="00AD5985"/>
    <w:rsid w:val="00AF732A"/>
    <w:rsid w:val="00BD397E"/>
    <w:rsid w:val="00C40AF0"/>
    <w:rsid w:val="00C56ACE"/>
    <w:rsid w:val="00CA0201"/>
    <w:rsid w:val="00CA4AF1"/>
    <w:rsid w:val="00D9054D"/>
    <w:rsid w:val="00DD53A8"/>
    <w:rsid w:val="00F0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79CA"/>
  <w15:chartTrackingRefBased/>
  <w15:docId w15:val="{1989AFC3-5C65-48A0-82D1-12C4D07E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1F0F"/>
    <w:pPr>
      <w:spacing w:after="0" w:line="240" w:lineRule="auto"/>
    </w:pPr>
    <w:rPr>
      <w:rFonts w:ascii="Times New Roman" w:eastAsia="Times New Roman" w:hAnsi="Times New Roman" w:cs="Times New Roman"/>
      <w:noProof/>
      <w:sz w:val="24"/>
      <w:szCs w:val="24"/>
      <w:lang w:val="ro-RO"/>
    </w:rPr>
  </w:style>
  <w:style w:type="paragraph" w:styleId="1">
    <w:name w:val="heading 1"/>
    <w:basedOn w:val="a0"/>
    <w:next w:val="a"/>
    <w:link w:val="10"/>
    <w:qFormat/>
    <w:rsid w:val="00AC1F0F"/>
    <w:pPr>
      <w:numPr>
        <w:numId w:val="1"/>
      </w:numPr>
      <w:tabs>
        <w:tab w:val="num" w:pos="360"/>
        <w:tab w:val="left" w:pos="1134"/>
      </w:tabs>
      <w:ind w:firstLine="0"/>
      <w:contextualSpacing w:val="0"/>
      <w:jc w:val="center"/>
      <w:outlineLvl w:val="0"/>
    </w:pPr>
    <w:rPr>
      <w:b/>
      <w:noProof w:val="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1F0F"/>
    <w:rPr>
      <w:rFonts w:ascii="Times New Roman" w:eastAsia="Times New Roman" w:hAnsi="Times New Roman" w:cs="Times New Roman"/>
      <w:b/>
      <w:sz w:val="24"/>
      <w:szCs w:val="24"/>
    </w:rPr>
  </w:style>
  <w:style w:type="paragraph" w:styleId="a0">
    <w:name w:val="List Paragraph"/>
    <w:aliases w:val="HotarirePunct1"/>
    <w:basedOn w:val="a"/>
    <w:link w:val="a4"/>
    <w:uiPriority w:val="34"/>
    <w:qFormat/>
    <w:rsid w:val="00AC1F0F"/>
    <w:pPr>
      <w:ind w:left="720"/>
      <w:contextualSpacing/>
    </w:pPr>
  </w:style>
  <w:style w:type="character" w:customStyle="1" w:styleId="a4">
    <w:name w:val="Абзац списка Знак"/>
    <w:aliases w:val="HotarirePunct1 Знак"/>
    <w:link w:val="a0"/>
    <w:uiPriority w:val="34"/>
    <w:locked/>
    <w:rsid w:val="00AC1F0F"/>
    <w:rPr>
      <w:rFonts w:ascii="Times New Roman" w:eastAsia="Times New Roman" w:hAnsi="Times New Roman" w:cs="Times New Roman"/>
      <w:noProof/>
      <w:sz w:val="24"/>
      <w:szCs w:val="24"/>
      <w:lang w:val="ro-RO"/>
    </w:rPr>
  </w:style>
  <w:style w:type="character" w:styleId="a5">
    <w:name w:val="Strong"/>
    <w:uiPriority w:val="22"/>
    <w:qFormat/>
    <w:rsid w:val="003E0827"/>
    <w:rPr>
      <w:b/>
      <w:bCs/>
    </w:rPr>
  </w:style>
  <w:style w:type="paragraph" w:styleId="a6">
    <w:name w:val="header"/>
    <w:basedOn w:val="a"/>
    <w:link w:val="a7"/>
    <w:uiPriority w:val="99"/>
    <w:unhideWhenUsed/>
    <w:rsid w:val="007E5F62"/>
    <w:pPr>
      <w:tabs>
        <w:tab w:val="center" w:pos="4844"/>
        <w:tab w:val="right" w:pos="9689"/>
      </w:tabs>
    </w:pPr>
  </w:style>
  <w:style w:type="character" w:customStyle="1" w:styleId="a7">
    <w:name w:val="Верхний колонтитул Знак"/>
    <w:basedOn w:val="a1"/>
    <w:link w:val="a6"/>
    <w:uiPriority w:val="99"/>
    <w:rsid w:val="007E5F62"/>
    <w:rPr>
      <w:rFonts w:ascii="Times New Roman" w:eastAsia="Times New Roman" w:hAnsi="Times New Roman" w:cs="Times New Roman"/>
      <w:noProof/>
      <w:sz w:val="24"/>
      <w:szCs w:val="24"/>
      <w:lang w:val="ro-RO"/>
    </w:rPr>
  </w:style>
  <w:style w:type="paragraph" w:styleId="a8">
    <w:name w:val="footer"/>
    <w:basedOn w:val="a"/>
    <w:link w:val="a9"/>
    <w:uiPriority w:val="99"/>
    <w:unhideWhenUsed/>
    <w:rsid w:val="007E5F62"/>
    <w:pPr>
      <w:tabs>
        <w:tab w:val="center" w:pos="4844"/>
        <w:tab w:val="right" w:pos="9689"/>
      </w:tabs>
    </w:pPr>
  </w:style>
  <w:style w:type="character" w:customStyle="1" w:styleId="a9">
    <w:name w:val="Нижний колонтитул Знак"/>
    <w:basedOn w:val="a1"/>
    <w:link w:val="a8"/>
    <w:uiPriority w:val="99"/>
    <w:rsid w:val="007E5F62"/>
    <w:rPr>
      <w:rFonts w:ascii="Times New Roman" w:eastAsia="Times New Roman" w:hAnsi="Times New Roman" w:cs="Times New Roman"/>
      <w:noProof/>
      <w:sz w:val="24"/>
      <w:szCs w:val="24"/>
      <w:lang w:val="ro-RO"/>
    </w:rPr>
  </w:style>
  <w:style w:type="paragraph" w:styleId="aa">
    <w:name w:val="Balloon Text"/>
    <w:basedOn w:val="a"/>
    <w:link w:val="ab"/>
    <w:uiPriority w:val="99"/>
    <w:semiHidden/>
    <w:unhideWhenUsed/>
    <w:rsid w:val="000E7114"/>
    <w:rPr>
      <w:rFonts w:ascii="Segoe UI" w:hAnsi="Segoe UI" w:cs="Segoe UI"/>
      <w:sz w:val="18"/>
      <w:szCs w:val="18"/>
    </w:rPr>
  </w:style>
  <w:style w:type="character" w:customStyle="1" w:styleId="ab">
    <w:name w:val="Текст выноски Знак"/>
    <w:basedOn w:val="a1"/>
    <w:link w:val="aa"/>
    <w:uiPriority w:val="99"/>
    <w:semiHidden/>
    <w:rsid w:val="000E7114"/>
    <w:rPr>
      <w:rFonts w:ascii="Segoe UI" w:eastAsia="Times New Roman"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F7513-2F03-466C-BA12-C13423E9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2826</Words>
  <Characters>16113</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Contabil</cp:lastModifiedBy>
  <cp:revision>57</cp:revision>
  <cp:lastPrinted>2022-01-13T16:03:00Z</cp:lastPrinted>
  <dcterms:created xsi:type="dcterms:W3CDTF">2022-01-13T07:32:00Z</dcterms:created>
  <dcterms:modified xsi:type="dcterms:W3CDTF">2022-01-14T08:48:00Z</dcterms:modified>
</cp:coreProperties>
</file>